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AEEE2" w14:textId="77777777" w:rsidR="009D238A" w:rsidRPr="005E0152" w:rsidRDefault="006964ED" w:rsidP="0070045E">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708" w:hanging="708"/>
        <w:jc w:val="center"/>
        <w:rPr>
          <w:rFonts w:asciiTheme="minorHAnsi" w:hAnsiTheme="minorHAnsi" w:cstheme="minorHAnsi"/>
          <w:b/>
          <w:sz w:val="28"/>
          <w:szCs w:val="24"/>
        </w:rPr>
      </w:pPr>
      <w:r w:rsidRPr="005E0152">
        <w:rPr>
          <w:rFonts w:asciiTheme="minorHAnsi" w:hAnsiTheme="minorHAnsi" w:cstheme="minorHAnsi"/>
          <w:b/>
          <w:sz w:val="28"/>
          <w:szCs w:val="24"/>
        </w:rPr>
        <w:t>FOSSAL S.A.A.</w:t>
      </w:r>
    </w:p>
    <w:p w14:paraId="58EB4AA3" w14:textId="6DD62118" w:rsidR="009D238A" w:rsidRPr="005E0152" w:rsidRDefault="0055493A" w:rsidP="00C00C1A">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center"/>
        <w:rPr>
          <w:rFonts w:asciiTheme="minorHAnsi" w:hAnsiTheme="minorHAnsi" w:cstheme="minorHAnsi"/>
          <w:b/>
          <w:sz w:val="28"/>
          <w:szCs w:val="24"/>
        </w:rPr>
      </w:pPr>
      <w:r w:rsidRPr="005E0152">
        <w:rPr>
          <w:rFonts w:asciiTheme="minorHAnsi" w:hAnsiTheme="minorHAnsi" w:cstheme="minorHAnsi"/>
          <w:b/>
          <w:sz w:val="28"/>
          <w:szCs w:val="24"/>
        </w:rPr>
        <w:t>202</w:t>
      </w:r>
      <w:r w:rsidR="00254176" w:rsidRPr="005E0152">
        <w:rPr>
          <w:rFonts w:asciiTheme="minorHAnsi" w:hAnsiTheme="minorHAnsi" w:cstheme="minorHAnsi"/>
          <w:b/>
          <w:sz w:val="28"/>
          <w:szCs w:val="24"/>
        </w:rPr>
        <w:t>1</w:t>
      </w:r>
      <w:r w:rsidR="00C00C1A" w:rsidRPr="005E0152">
        <w:rPr>
          <w:rFonts w:asciiTheme="minorHAnsi" w:hAnsiTheme="minorHAnsi" w:cstheme="minorHAnsi"/>
          <w:b/>
          <w:sz w:val="28"/>
          <w:szCs w:val="24"/>
        </w:rPr>
        <w:t xml:space="preserve"> </w:t>
      </w:r>
      <w:r w:rsidR="00C00C1A" w:rsidRPr="005E0152">
        <w:rPr>
          <w:rFonts w:asciiTheme="minorHAnsi" w:hAnsiTheme="minorHAnsi" w:cstheme="minorHAnsi"/>
          <w:b/>
          <w:sz w:val="28"/>
          <w:szCs w:val="24"/>
        </w:rPr>
        <w:t>ANNUAL REPORT</w:t>
      </w:r>
    </w:p>
    <w:p w14:paraId="559B36D7" w14:textId="77777777" w:rsidR="009D238A" w:rsidRPr="005E0152" w:rsidRDefault="009D238A" w:rsidP="00006B26">
      <w:pPr>
        <w:spacing w:line="276" w:lineRule="auto"/>
        <w:jc w:val="both"/>
        <w:rPr>
          <w:rFonts w:asciiTheme="minorHAnsi" w:hAnsiTheme="minorHAnsi" w:cstheme="minorHAnsi"/>
          <w:b/>
          <w:spacing w:val="20"/>
          <w:szCs w:val="24"/>
          <w:lang w:val="en-US"/>
        </w:rPr>
      </w:pPr>
    </w:p>
    <w:p w14:paraId="20E4BE90" w14:textId="77777777" w:rsidR="00C00C1A" w:rsidRPr="005E0152" w:rsidRDefault="00C00C1A" w:rsidP="00C00C1A">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b/>
          <w:sz w:val="28"/>
          <w:szCs w:val="24"/>
        </w:rPr>
      </w:pPr>
      <w:r w:rsidRPr="005E0152">
        <w:rPr>
          <w:rFonts w:asciiTheme="minorHAnsi" w:hAnsiTheme="minorHAnsi" w:cstheme="minorHAnsi"/>
          <w:b/>
          <w:sz w:val="28"/>
          <w:szCs w:val="24"/>
        </w:rPr>
        <w:t>Dear Shareholders,</w:t>
      </w:r>
    </w:p>
    <w:p w14:paraId="44053AC0" w14:textId="77777777" w:rsidR="009D238A" w:rsidRPr="005E0152" w:rsidRDefault="009D238A" w:rsidP="00006B26">
      <w:pPr>
        <w:spacing w:line="276" w:lineRule="auto"/>
        <w:jc w:val="both"/>
        <w:rPr>
          <w:rFonts w:asciiTheme="minorHAnsi" w:hAnsiTheme="minorHAnsi" w:cstheme="minorHAnsi"/>
          <w:b/>
          <w:spacing w:val="20"/>
          <w:sz w:val="26"/>
          <w:szCs w:val="26"/>
          <w:lang w:val="en-US"/>
        </w:rPr>
      </w:pPr>
    </w:p>
    <w:p w14:paraId="6EC1D8FD" w14:textId="13ADF3C8" w:rsidR="00C00C1A" w:rsidRPr="005E0152" w:rsidRDefault="00C00C1A" w:rsidP="00C00C1A">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Pursuant to the provisions of the Company´s Bylaws, the Board of Directors submits to your consideration the Annual Report, which includes reports from FOSSAL S.A.A.´s businesses corresponding to the fiscal year 202</w:t>
      </w:r>
      <w:r w:rsidRPr="005E0152">
        <w:rPr>
          <w:rFonts w:asciiTheme="minorHAnsi" w:hAnsiTheme="minorHAnsi" w:cstheme="minorHAnsi"/>
          <w:szCs w:val="24"/>
          <w:lang w:val="en-US"/>
        </w:rPr>
        <w:t>1</w:t>
      </w:r>
      <w:r w:rsidRPr="005E0152">
        <w:rPr>
          <w:rFonts w:asciiTheme="minorHAnsi" w:hAnsiTheme="minorHAnsi" w:cstheme="minorHAnsi"/>
          <w:szCs w:val="24"/>
          <w:lang w:val="en-US"/>
        </w:rPr>
        <w:t>.</w:t>
      </w:r>
    </w:p>
    <w:p w14:paraId="3AD792AE" w14:textId="77777777" w:rsidR="00C00C1A" w:rsidRPr="005E0152" w:rsidRDefault="00C00C1A" w:rsidP="00006B26">
      <w:pPr>
        <w:spacing w:line="276" w:lineRule="auto"/>
        <w:jc w:val="both"/>
        <w:rPr>
          <w:rFonts w:asciiTheme="minorHAnsi" w:hAnsiTheme="minorHAnsi" w:cstheme="minorHAnsi"/>
          <w:b/>
          <w:spacing w:val="20"/>
          <w:szCs w:val="24"/>
          <w:lang w:val="en-US"/>
        </w:rPr>
      </w:pPr>
    </w:p>
    <w:p w14:paraId="0F2B55C1" w14:textId="77777777" w:rsidR="009D238A" w:rsidRPr="005E0152" w:rsidRDefault="009D238A" w:rsidP="00006B26">
      <w:pPr>
        <w:spacing w:line="276" w:lineRule="auto"/>
        <w:jc w:val="both"/>
        <w:rPr>
          <w:rFonts w:asciiTheme="minorHAnsi" w:hAnsiTheme="minorHAnsi" w:cstheme="minorHAnsi"/>
          <w:b/>
          <w:spacing w:val="20"/>
          <w:szCs w:val="24"/>
          <w:lang w:val="en-US"/>
        </w:rPr>
      </w:pPr>
    </w:p>
    <w:p w14:paraId="0C858709" w14:textId="77777777" w:rsidR="009D238A" w:rsidRPr="005E0152" w:rsidRDefault="009D238A" w:rsidP="00006B26">
      <w:pPr>
        <w:spacing w:line="276" w:lineRule="auto"/>
        <w:jc w:val="both"/>
        <w:rPr>
          <w:rFonts w:asciiTheme="minorHAnsi" w:hAnsiTheme="minorHAnsi" w:cstheme="minorHAnsi"/>
          <w:b/>
          <w:spacing w:val="20"/>
          <w:szCs w:val="24"/>
          <w:lang w:val="en-US"/>
        </w:rPr>
      </w:pPr>
    </w:p>
    <w:p w14:paraId="7590A5E4" w14:textId="77777777" w:rsidR="00C00C1A" w:rsidRPr="005E0152" w:rsidRDefault="00C00C1A" w:rsidP="00C00C1A">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b/>
          <w:sz w:val="28"/>
          <w:szCs w:val="24"/>
        </w:rPr>
      </w:pPr>
      <w:r w:rsidRPr="005E0152">
        <w:rPr>
          <w:rFonts w:asciiTheme="minorHAnsi" w:hAnsiTheme="minorHAnsi" w:cstheme="minorHAnsi"/>
          <w:b/>
          <w:sz w:val="28"/>
          <w:szCs w:val="24"/>
        </w:rPr>
        <w:t xml:space="preserve">Section I: RESPONSIBILITY STATEMENT                                                                                                                                               </w:t>
      </w:r>
    </w:p>
    <w:p w14:paraId="29E69108" w14:textId="77777777" w:rsidR="009D238A" w:rsidRPr="005E0152" w:rsidRDefault="009D238A" w:rsidP="00006B26">
      <w:pPr>
        <w:pStyle w:val="Textopredeterminado"/>
        <w:spacing w:line="276" w:lineRule="auto"/>
        <w:jc w:val="both"/>
        <w:rPr>
          <w:rFonts w:asciiTheme="minorHAnsi" w:hAnsiTheme="minorHAnsi" w:cstheme="minorHAnsi"/>
          <w:spacing w:val="20"/>
          <w:szCs w:val="24"/>
          <w:lang w:val="en-US"/>
        </w:rPr>
      </w:pPr>
    </w:p>
    <w:p w14:paraId="507A4494" w14:textId="77777777" w:rsidR="009D238A" w:rsidRPr="005E0152" w:rsidRDefault="009D238A"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rPr>
      </w:pPr>
    </w:p>
    <w:p w14:paraId="4E54AF60" w14:textId="78211195" w:rsidR="00C00C1A" w:rsidRPr="005E0152" w:rsidRDefault="00C00C1A" w:rsidP="00C00C1A">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This document contains truthful and sufficient information regarding the development of the business of FOSSAL S.A.A. during 202</w:t>
      </w:r>
      <w:r w:rsidRPr="005E0152">
        <w:rPr>
          <w:rFonts w:asciiTheme="minorHAnsi" w:hAnsiTheme="minorHAnsi" w:cstheme="minorHAnsi"/>
          <w:szCs w:val="24"/>
          <w:lang w:val="en-US"/>
        </w:rPr>
        <w:t>1</w:t>
      </w:r>
      <w:r w:rsidRPr="005E0152">
        <w:rPr>
          <w:rFonts w:asciiTheme="minorHAnsi" w:hAnsiTheme="minorHAnsi" w:cstheme="minorHAnsi"/>
          <w:szCs w:val="24"/>
          <w:lang w:val="en-US"/>
        </w:rPr>
        <w:t>. Notwithstanding the responsibility of the issuer, the signatories make themselves responsible for its content in accordance with the applicable legal provisions.</w:t>
      </w:r>
    </w:p>
    <w:p w14:paraId="7DA5C8A4" w14:textId="77777777" w:rsidR="009D238A" w:rsidRPr="005E0152" w:rsidRDefault="009D238A"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rPr>
      </w:pPr>
    </w:p>
    <w:p w14:paraId="5C0F247A" w14:textId="77777777" w:rsidR="009D238A" w:rsidRPr="005E0152" w:rsidRDefault="00104AD9"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rPr>
      </w:pPr>
      <w:r w:rsidRPr="005E0152">
        <w:rPr>
          <w:rFonts w:asciiTheme="minorHAnsi" w:hAnsiTheme="minorHAnsi" w:cstheme="minorHAnsi"/>
          <w:sz w:val="24"/>
          <w:szCs w:val="24"/>
          <w:lang w:eastAsia="es-MX"/>
        </w:rPr>
        <w:drawing>
          <wp:anchor distT="0" distB="0" distL="114300" distR="114300" simplePos="0" relativeHeight="251660288" behindDoc="1" locked="0" layoutInCell="1" allowOverlap="1" wp14:anchorId="24600F61" wp14:editId="143ACE83">
            <wp:simplePos x="0" y="0"/>
            <wp:positionH relativeFrom="column">
              <wp:posOffset>2971800</wp:posOffset>
            </wp:positionH>
            <wp:positionV relativeFrom="paragraph">
              <wp:posOffset>92710</wp:posOffset>
            </wp:positionV>
            <wp:extent cx="1600200" cy="816610"/>
            <wp:effectExtent l="0" t="0" r="0" b="0"/>
            <wp:wrapNone/>
            <wp:docPr id="2"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816610"/>
                    </a:xfrm>
                    <a:prstGeom prst="rect">
                      <a:avLst/>
                    </a:prstGeom>
                    <a:noFill/>
                  </pic:spPr>
                </pic:pic>
              </a:graphicData>
            </a:graphic>
          </wp:anchor>
        </w:drawing>
      </w:r>
      <w:r w:rsidR="002211A8" w:rsidRPr="005E0152">
        <w:rPr>
          <w:rFonts w:asciiTheme="minorHAnsi" w:hAnsiTheme="minorHAnsi" w:cstheme="minorHAnsi"/>
          <w:sz w:val="24"/>
          <w:szCs w:val="24"/>
          <w:lang w:eastAsia="es-MX"/>
        </w:rPr>
        <w:drawing>
          <wp:anchor distT="0" distB="0" distL="114300" distR="114300" simplePos="0" relativeHeight="251659264" behindDoc="1" locked="0" layoutInCell="1" allowOverlap="1" wp14:anchorId="2F113C00" wp14:editId="43379F9F">
            <wp:simplePos x="0" y="0"/>
            <wp:positionH relativeFrom="column">
              <wp:posOffset>114300</wp:posOffset>
            </wp:positionH>
            <wp:positionV relativeFrom="paragraph">
              <wp:posOffset>110490</wp:posOffset>
            </wp:positionV>
            <wp:extent cx="1371600" cy="725170"/>
            <wp:effectExtent l="0" t="0" r="0" b="0"/>
            <wp:wrapNone/>
            <wp:docPr id="3"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725170"/>
                    </a:xfrm>
                    <a:prstGeom prst="rect">
                      <a:avLst/>
                    </a:prstGeom>
                    <a:noFill/>
                  </pic:spPr>
                </pic:pic>
              </a:graphicData>
            </a:graphic>
          </wp:anchor>
        </w:drawing>
      </w:r>
    </w:p>
    <w:p w14:paraId="4BF7418C" w14:textId="77777777" w:rsidR="009D238A" w:rsidRPr="005E0152" w:rsidRDefault="009D238A"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rPr>
      </w:pPr>
    </w:p>
    <w:p w14:paraId="679A80E8" w14:textId="77777777" w:rsidR="009D238A" w:rsidRPr="005E0152" w:rsidRDefault="00104AD9"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rPr>
      </w:pPr>
      <w:r w:rsidRPr="005E0152">
        <w:rPr>
          <w:rFonts w:asciiTheme="minorHAnsi" w:hAnsiTheme="minorHAnsi" w:cstheme="minorHAnsi"/>
          <w:spacing w:val="20"/>
          <w:sz w:val="24"/>
          <w:szCs w:val="24"/>
        </w:rPr>
        <w:tab/>
      </w:r>
      <w:r w:rsidRPr="005E0152">
        <w:rPr>
          <w:rFonts w:asciiTheme="minorHAnsi" w:hAnsiTheme="minorHAnsi" w:cstheme="minorHAnsi"/>
          <w:spacing w:val="20"/>
          <w:sz w:val="24"/>
          <w:szCs w:val="24"/>
        </w:rPr>
        <w:tab/>
      </w:r>
      <w:r w:rsidRPr="005E0152">
        <w:rPr>
          <w:rFonts w:asciiTheme="minorHAnsi" w:hAnsiTheme="minorHAnsi" w:cstheme="minorHAnsi"/>
          <w:spacing w:val="20"/>
          <w:sz w:val="24"/>
          <w:szCs w:val="24"/>
        </w:rPr>
        <w:tab/>
      </w:r>
      <w:r w:rsidRPr="005E0152">
        <w:rPr>
          <w:rFonts w:asciiTheme="minorHAnsi" w:hAnsiTheme="minorHAnsi" w:cstheme="minorHAnsi"/>
          <w:spacing w:val="20"/>
          <w:sz w:val="24"/>
          <w:szCs w:val="24"/>
        </w:rPr>
        <w:tab/>
      </w:r>
      <w:r w:rsidRPr="005E0152">
        <w:rPr>
          <w:rFonts w:asciiTheme="minorHAnsi" w:hAnsiTheme="minorHAnsi" w:cstheme="minorHAnsi"/>
          <w:spacing w:val="20"/>
          <w:sz w:val="24"/>
          <w:szCs w:val="24"/>
        </w:rPr>
        <w:tab/>
      </w:r>
      <w:r w:rsidRPr="005E0152">
        <w:rPr>
          <w:rFonts w:asciiTheme="minorHAnsi" w:hAnsiTheme="minorHAnsi" w:cstheme="minorHAnsi"/>
          <w:spacing w:val="20"/>
          <w:sz w:val="24"/>
          <w:szCs w:val="24"/>
        </w:rPr>
        <w:tab/>
      </w:r>
      <w:r w:rsidRPr="005E0152">
        <w:rPr>
          <w:rFonts w:asciiTheme="minorHAnsi" w:hAnsiTheme="minorHAnsi" w:cstheme="minorHAnsi"/>
          <w:spacing w:val="20"/>
          <w:sz w:val="24"/>
          <w:szCs w:val="24"/>
        </w:rPr>
        <w:tab/>
      </w:r>
    </w:p>
    <w:p w14:paraId="2D503773" w14:textId="77777777" w:rsidR="009D238A" w:rsidRPr="005E0152" w:rsidRDefault="006964ED"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rPr>
      </w:pPr>
      <w:r w:rsidRPr="005E0152">
        <w:rPr>
          <w:rFonts w:asciiTheme="minorHAnsi" w:hAnsiTheme="minorHAnsi" w:cstheme="minorHAnsi"/>
          <w:spacing w:val="20"/>
          <w:sz w:val="24"/>
          <w:szCs w:val="24"/>
        </w:rPr>
        <w:t>Humberto Nadal del Carpio</w:t>
      </w:r>
      <w:r w:rsidR="00104AD9" w:rsidRPr="005E0152">
        <w:rPr>
          <w:rStyle w:val="Refdenotaalpie"/>
          <w:rFonts w:asciiTheme="minorHAnsi" w:hAnsiTheme="minorHAnsi" w:cstheme="minorHAnsi"/>
          <w:spacing w:val="20"/>
          <w:sz w:val="24"/>
          <w:szCs w:val="24"/>
        </w:rPr>
        <w:footnoteReference w:id="1"/>
      </w:r>
      <w:r w:rsidR="00104AD9" w:rsidRPr="005E0152">
        <w:rPr>
          <w:rFonts w:asciiTheme="minorHAnsi" w:hAnsiTheme="minorHAnsi" w:cstheme="minorHAnsi"/>
          <w:spacing w:val="20"/>
          <w:sz w:val="24"/>
          <w:szCs w:val="24"/>
        </w:rPr>
        <w:tab/>
      </w:r>
      <w:r w:rsidR="00104AD9" w:rsidRPr="005E0152">
        <w:rPr>
          <w:rFonts w:asciiTheme="minorHAnsi" w:hAnsiTheme="minorHAnsi" w:cstheme="minorHAnsi"/>
          <w:spacing w:val="20"/>
          <w:sz w:val="24"/>
          <w:szCs w:val="24"/>
        </w:rPr>
        <w:tab/>
        <w:t xml:space="preserve">     </w:t>
      </w:r>
      <w:r w:rsidR="00104AD9" w:rsidRPr="005E0152">
        <w:rPr>
          <w:rFonts w:asciiTheme="minorHAnsi" w:hAnsiTheme="minorHAnsi" w:cstheme="minorHAnsi"/>
          <w:spacing w:val="20"/>
          <w:sz w:val="24"/>
          <w:szCs w:val="24"/>
        </w:rPr>
        <w:tab/>
        <w:t>Alfredo Tong Lam</w:t>
      </w:r>
    </w:p>
    <w:p w14:paraId="796BF138" w14:textId="77777777" w:rsidR="009D238A" w:rsidRPr="005E0152" w:rsidRDefault="00104AD9"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rPr>
      </w:pPr>
      <w:r w:rsidRPr="005E0152">
        <w:rPr>
          <w:rFonts w:asciiTheme="minorHAnsi" w:hAnsiTheme="minorHAnsi" w:cstheme="minorHAnsi"/>
          <w:spacing w:val="20"/>
          <w:sz w:val="24"/>
          <w:szCs w:val="24"/>
        </w:rPr>
        <w:t xml:space="preserve">     Gerente General</w:t>
      </w:r>
      <w:r w:rsidRPr="005E0152">
        <w:rPr>
          <w:rFonts w:asciiTheme="minorHAnsi" w:hAnsiTheme="minorHAnsi" w:cstheme="minorHAnsi"/>
          <w:spacing w:val="20"/>
          <w:sz w:val="24"/>
          <w:szCs w:val="24"/>
        </w:rPr>
        <w:tab/>
      </w:r>
      <w:r w:rsidRPr="005E0152">
        <w:rPr>
          <w:rFonts w:asciiTheme="minorHAnsi" w:hAnsiTheme="minorHAnsi" w:cstheme="minorHAnsi"/>
          <w:spacing w:val="20"/>
          <w:sz w:val="24"/>
          <w:szCs w:val="24"/>
        </w:rPr>
        <w:tab/>
      </w:r>
      <w:r w:rsidRPr="005E0152">
        <w:rPr>
          <w:rFonts w:asciiTheme="minorHAnsi" w:hAnsiTheme="minorHAnsi" w:cstheme="minorHAnsi"/>
          <w:spacing w:val="20"/>
          <w:sz w:val="24"/>
          <w:szCs w:val="24"/>
        </w:rPr>
        <w:tab/>
      </w:r>
      <w:r w:rsidRPr="005E0152">
        <w:rPr>
          <w:rFonts w:asciiTheme="minorHAnsi" w:hAnsiTheme="minorHAnsi" w:cstheme="minorHAnsi"/>
          <w:spacing w:val="20"/>
          <w:sz w:val="24"/>
          <w:szCs w:val="24"/>
        </w:rPr>
        <w:tab/>
        <w:t xml:space="preserve">      Contador</w:t>
      </w:r>
    </w:p>
    <w:p w14:paraId="3D11E542" w14:textId="77777777" w:rsidR="009D238A" w:rsidRPr="005E0152" w:rsidRDefault="00104AD9"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rPr>
      </w:pPr>
      <w:r w:rsidRPr="005E0152">
        <w:rPr>
          <w:rFonts w:asciiTheme="minorHAnsi" w:hAnsiTheme="minorHAnsi" w:cstheme="minorHAnsi"/>
          <w:spacing w:val="20"/>
          <w:sz w:val="24"/>
          <w:szCs w:val="24"/>
        </w:rPr>
        <w:tab/>
      </w:r>
      <w:r w:rsidRPr="005E0152">
        <w:rPr>
          <w:rFonts w:asciiTheme="minorHAnsi" w:hAnsiTheme="minorHAnsi" w:cstheme="minorHAnsi"/>
          <w:spacing w:val="20"/>
          <w:sz w:val="24"/>
          <w:szCs w:val="24"/>
        </w:rPr>
        <w:tab/>
      </w:r>
      <w:r w:rsidRPr="005E0152">
        <w:rPr>
          <w:rFonts w:asciiTheme="minorHAnsi" w:hAnsiTheme="minorHAnsi" w:cstheme="minorHAnsi"/>
          <w:spacing w:val="20"/>
          <w:sz w:val="24"/>
          <w:szCs w:val="24"/>
        </w:rPr>
        <w:tab/>
      </w:r>
      <w:r w:rsidRPr="005E0152">
        <w:rPr>
          <w:rFonts w:asciiTheme="minorHAnsi" w:hAnsiTheme="minorHAnsi" w:cstheme="minorHAnsi"/>
          <w:spacing w:val="20"/>
          <w:sz w:val="24"/>
          <w:szCs w:val="24"/>
        </w:rPr>
        <w:tab/>
      </w:r>
      <w:r w:rsidRPr="005E0152">
        <w:rPr>
          <w:rFonts w:asciiTheme="minorHAnsi" w:hAnsiTheme="minorHAnsi" w:cstheme="minorHAnsi"/>
          <w:spacing w:val="20"/>
          <w:sz w:val="24"/>
          <w:szCs w:val="24"/>
        </w:rPr>
        <w:tab/>
      </w:r>
      <w:r w:rsidRPr="005E0152">
        <w:rPr>
          <w:rFonts w:asciiTheme="minorHAnsi" w:hAnsiTheme="minorHAnsi" w:cstheme="minorHAnsi"/>
          <w:spacing w:val="20"/>
          <w:sz w:val="24"/>
          <w:szCs w:val="24"/>
        </w:rPr>
        <w:tab/>
      </w:r>
    </w:p>
    <w:p w14:paraId="7294EED0" w14:textId="77777777" w:rsidR="009D238A" w:rsidRPr="005E0152" w:rsidRDefault="009D238A"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rPr>
      </w:pPr>
    </w:p>
    <w:p w14:paraId="569A9999" w14:textId="77777777" w:rsidR="009D238A" w:rsidRPr="005E0152" w:rsidRDefault="009D238A"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rPr>
      </w:pPr>
    </w:p>
    <w:p w14:paraId="04035C20" w14:textId="77777777" w:rsidR="009D238A" w:rsidRPr="005E0152" w:rsidRDefault="009D238A"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rPr>
      </w:pPr>
    </w:p>
    <w:p w14:paraId="0FF1ED6D" w14:textId="469582D0" w:rsidR="009D238A" w:rsidRPr="005E0152" w:rsidRDefault="006964ED"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rPr>
      </w:pPr>
      <w:r w:rsidRPr="005E0152">
        <w:rPr>
          <w:rFonts w:asciiTheme="minorHAnsi" w:hAnsiTheme="minorHAnsi" w:cstheme="minorHAnsi"/>
          <w:sz w:val="24"/>
          <w:szCs w:val="24"/>
        </w:rPr>
        <w:t xml:space="preserve">Lima, </w:t>
      </w:r>
      <w:r w:rsidR="003F6B1B" w:rsidRPr="005E0152">
        <w:rPr>
          <w:rFonts w:asciiTheme="minorHAnsi" w:hAnsiTheme="minorHAnsi" w:cstheme="minorHAnsi"/>
          <w:sz w:val="24"/>
          <w:szCs w:val="24"/>
        </w:rPr>
        <w:t>March 03,</w:t>
      </w:r>
      <w:r w:rsidRPr="005E0152">
        <w:rPr>
          <w:rFonts w:asciiTheme="minorHAnsi" w:hAnsiTheme="minorHAnsi" w:cstheme="minorHAnsi"/>
          <w:sz w:val="24"/>
          <w:szCs w:val="24"/>
        </w:rPr>
        <w:t xml:space="preserve"> 202</w:t>
      </w:r>
      <w:r w:rsidR="00B65D8A" w:rsidRPr="005E0152">
        <w:rPr>
          <w:rFonts w:asciiTheme="minorHAnsi" w:hAnsiTheme="minorHAnsi" w:cstheme="minorHAnsi"/>
          <w:sz w:val="24"/>
          <w:szCs w:val="24"/>
        </w:rPr>
        <w:t>2</w:t>
      </w:r>
    </w:p>
    <w:p w14:paraId="4F2E321C" w14:textId="77777777" w:rsidR="009D238A" w:rsidRPr="005E0152" w:rsidRDefault="009D238A"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pacing w:val="20"/>
          <w:sz w:val="24"/>
          <w:szCs w:val="24"/>
        </w:rPr>
      </w:pPr>
    </w:p>
    <w:p w14:paraId="3A4528E6" w14:textId="77777777" w:rsidR="009D238A" w:rsidRPr="005E0152" w:rsidRDefault="00104AD9" w:rsidP="00006B26">
      <w:pPr>
        <w:spacing w:line="276" w:lineRule="auto"/>
        <w:jc w:val="both"/>
        <w:rPr>
          <w:rFonts w:asciiTheme="minorHAnsi" w:hAnsiTheme="minorHAnsi" w:cstheme="minorHAnsi"/>
          <w:spacing w:val="20"/>
          <w:szCs w:val="24"/>
          <w:lang w:val="en-US"/>
        </w:rPr>
      </w:pPr>
      <w:r w:rsidRPr="005E0152">
        <w:rPr>
          <w:rFonts w:asciiTheme="minorHAnsi" w:hAnsiTheme="minorHAnsi" w:cstheme="minorHAnsi"/>
          <w:spacing w:val="20"/>
          <w:szCs w:val="24"/>
          <w:lang w:val="en-US"/>
        </w:rPr>
        <w:br w:type="page"/>
      </w:r>
    </w:p>
    <w:p w14:paraId="0A3ED966" w14:textId="07BA7838" w:rsidR="009D238A" w:rsidRPr="005E0152" w:rsidRDefault="008708A5"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b/>
          <w:sz w:val="28"/>
          <w:szCs w:val="24"/>
        </w:rPr>
      </w:pPr>
      <w:r w:rsidRPr="005E0152">
        <w:rPr>
          <w:rFonts w:asciiTheme="minorHAnsi" w:hAnsiTheme="minorHAnsi" w:cstheme="minorHAnsi"/>
          <w:b/>
          <w:sz w:val="28"/>
          <w:szCs w:val="24"/>
        </w:rPr>
        <w:lastRenderedPageBreak/>
        <w:t>Sec</w:t>
      </w:r>
      <w:r w:rsidR="00214FF5" w:rsidRPr="005E0152">
        <w:rPr>
          <w:rFonts w:asciiTheme="minorHAnsi" w:hAnsiTheme="minorHAnsi" w:cstheme="minorHAnsi"/>
          <w:b/>
          <w:sz w:val="28"/>
          <w:szCs w:val="24"/>
        </w:rPr>
        <w:t>tion</w:t>
      </w:r>
      <w:r w:rsidRPr="005E0152">
        <w:rPr>
          <w:rFonts w:asciiTheme="minorHAnsi" w:hAnsiTheme="minorHAnsi" w:cstheme="minorHAnsi"/>
          <w:b/>
          <w:sz w:val="28"/>
          <w:szCs w:val="24"/>
        </w:rPr>
        <w:t xml:space="preserve"> II: BUSINESS</w:t>
      </w:r>
    </w:p>
    <w:p w14:paraId="2826C95D" w14:textId="77777777" w:rsidR="009D238A" w:rsidRPr="005E0152" w:rsidRDefault="009D238A"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z w:val="26"/>
          <w:szCs w:val="26"/>
        </w:rPr>
      </w:pPr>
    </w:p>
    <w:p w14:paraId="7307CE2C" w14:textId="1CE2D4D8" w:rsidR="00104AD9" w:rsidRPr="005E0152" w:rsidRDefault="0092063F" w:rsidP="0092063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b/>
          <w:sz w:val="24"/>
          <w:szCs w:val="24"/>
        </w:rPr>
      </w:pPr>
      <w:r w:rsidRPr="005E0152">
        <w:rPr>
          <w:rFonts w:asciiTheme="minorHAnsi" w:hAnsiTheme="minorHAnsi" w:cstheme="minorHAnsi"/>
          <w:b/>
          <w:sz w:val="24"/>
          <w:szCs w:val="24"/>
        </w:rPr>
        <w:t xml:space="preserve">A. </w:t>
      </w:r>
      <w:r w:rsidR="008708A5" w:rsidRPr="005E0152">
        <w:rPr>
          <w:rFonts w:asciiTheme="minorHAnsi" w:hAnsiTheme="minorHAnsi" w:cstheme="minorHAnsi"/>
          <w:b/>
          <w:sz w:val="24"/>
          <w:szCs w:val="24"/>
        </w:rPr>
        <w:t>General Information</w:t>
      </w:r>
    </w:p>
    <w:p w14:paraId="0D7D6294" w14:textId="77777777" w:rsidR="009D238A" w:rsidRPr="005E0152" w:rsidRDefault="009D238A"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z w:val="24"/>
          <w:szCs w:val="24"/>
        </w:rPr>
      </w:pPr>
    </w:p>
    <w:p w14:paraId="5A1C6C8D" w14:textId="77777777" w:rsidR="008708A5" w:rsidRPr="005E0152" w:rsidRDefault="008708A5" w:rsidP="008708A5">
      <w:pPr>
        <w:pStyle w:val="Textopredeterminado"/>
        <w:numPr>
          <w:ilvl w:val="0"/>
          <w:numId w:val="2"/>
        </w:num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Company Name: FOSSAL S.A.A.</w:t>
      </w:r>
    </w:p>
    <w:p w14:paraId="0F7D4A9F" w14:textId="77777777" w:rsidR="008708A5" w:rsidRPr="005E0152" w:rsidRDefault="008708A5" w:rsidP="008708A5">
      <w:pPr>
        <w:pStyle w:val="Textopredeterminado"/>
        <w:numPr>
          <w:ilvl w:val="0"/>
          <w:numId w:val="3"/>
        </w:num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Address: Calle La Colonia No. 150, Urbanización El Vivero, Santiago de Surco, Lima.</w:t>
      </w:r>
    </w:p>
    <w:p w14:paraId="54A470BB" w14:textId="77777777" w:rsidR="008708A5" w:rsidRPr="005E0152" w:rsidRDefault="008708A5" w:rsidP="008708A5">
      <w:pPr>
        <w:pStyle w:val="Textopredeterminado"/>
        <w:numPr>
          <w:ilvl w:val="0"/>
          <w:numId w:val="2"/>
        </w:num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Telephone:  317-6000</w:t>
      </w:r>
    </w:p>
    <w:p w14:paraId="43858DE6" w14:textId="77777777" w:rsidR="008708A5" w:rsidRPr="005E0152" w:rsidRDefault="008708A5" w:rsidP="008708A5">
      <w:pPr>
        <w:pStyle w:val="Textopredeterminado"/>
        <w:numPr>
          <w:ilvl w:val="0"/>
          <w:numId w:val="2"/>
        </w:num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Fax: 317-6099</w:t>
      </w:r>
    </w:p>
    <w:p w14:paraId="75A193D5" w14:textId="77777777" w:rsidR="008708A5" w:rsidRPr="005E0152" w:rsidRDefault="008708A5" w:rsidP="008708A5">
      <w:pPr>
        <w:pStyle w:val="Textopredeterminado"/>
        <w:numPr>
          <w:ilvl w:val="0"/>
          <w:numId w:val="3"/>
        </w:num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Incorporation: Notarized document dated August, 8, 2016, issued by Notary Public Ricardo Fernandini Barreda</w:t>
      </w:r>
    </w:p>
    <w:p w14:paraId="52B14611" w14:textId="77777777" w:rsidR="008708A5" w:rsidRPr="005E0152" w:rsidRDefault="008708A5" w:rsidP="008708A5">
      <w:pPr>
        <w:pStyle w:val="Textopredeterminado"/>
        <w:numPr>
          <w:ilvl w:val="0"/>
          <w:numId w:val="3"/>
        </w:num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Registration: August, 10, 2016, filed in Electronic Card No. 13685858 of the Registry of Corporations of the Public Records Office in and for Lima.</w:t>
      </w:r>
    </w:p>
    <w:p w14:paraId="75D9E565" w14:textId="68211502" w:rsidR="008708A5" w:rsidRPr="005E0152" w:rsidRDefault="00794C2D" w:rsidP="008708A5">
      <w:pPr>
        <w:pStyle w:val="Textopredeterminado"/>
        <w:numPr>
          <w:ilvl w:val="0"/>
          <w:numId w:val="3"/>
        </w:numPr>
        <w:tabs>
          <w:tab w:val="left" w:pos="0"/>
          <w:tab w:val="left" w:pos="360"/>
        </w:tabs>
        <w:spacing w:line="276" w:lineRule="auto"/>
        <w:jc w:val="both"/>
        <w:rPr>
          <w:rFonts w:asciiTheme="minorHAnsi" w:hAnsiTheme="minorHAnsi" w:cstheme="minorHAnsi"/>
          <w:szCs w:val="24"/>
          <w:lang w:val="en-US"/>
        </w:rPr>
      </w:pPr>
      <w:r>
        <w:rPr>
          <w:rFonts w:asciiTheme="minorHAnsi" w:hAnsiTheme="minorHAnsi" w:cstheme="minorHAnsi"/>
          <w:szCs w:val="24"/>
          <w:lang w:val="en-US"/>
        </w:rPr>
        <w:t xml:space="preserve">Economic </w:t>
      </w:r>
      <w:r w:rsidR="008708A5" w:rsidRPr="005E0152">
        <w:rPr>
          <w:rFonts w:asciiTheme="minorHAnsi" w:hAnsiTheme="minorHAnsi" w:cstheme="minorHAnsi"/>
          <w:szCs w:val="24"/>
          <w:lang w:val="en-US"/>
        </w:rPr>
        <w:t>Group: FOSSAL S.A.A. belongs to the “Hochschild – Pacasmayo” economic group, mainly composed by the following companies:</w:t>
      </w:r>
    </w:p>
    <w:p w14:paraId="0B9CD7D8" w14:textId="1171BA28" w:rsidR="009D238A" w:rsidRPr="005E0152" w:rsidRDefault="009D238A" w:rsidP="00006B26">
      <w:pPr>
        <w:pStyle w:val="Textopredeterminado"/>
        <w:tabs>
          <w:tab w:val="left" w:pos="0"/>
          <w:tab w:val="left" w:pos="360"/>
        </w:tabs>
        <w:spacing w:line="276" w:lineRule="auto"/>
        <w:ind w:left="360"/>
        <w:jc w:val="both"/>
        <w:rPr>
          <w:rFonts w:asciiTheme="minorHAnsi" w:hAnsiTheme="minorHAnsi" w:cstheme="minorHAnsi"/>
          <w:szCs w:val="24"/>
          <w:lang w:val="en-US"/>
        </w:rPr>
      </w:pPr>
    </w:p>
    <w:tbl>
      <w:tblPr>
        <w:tblW w:w="9231" w:type="dxa"/>
        <w:tblInd w:w="55" w:type="dxa"/>
        <w:tblCellMar>
          <w:left w:w="70" w:type="dxa"/>
          <w:right w:w="70" w:type="dxa"/>
        </w:tblCellMar>
        <w:tblLook w:val="0000" w:firstRow="0" w:lastRow="0" w:firstColumn="0" w:lastColumn="0" w:noHBand="0" w:noVBand="0"/>
      </w:tblPr>
      <w:tblGrid>
        <w:gridCol w:w="3504"/>
        <w:gridCol w:w="5727"/>
      </w:tblGrid>
      <w:tr w:rsidR="008708A5" w:rsidRPr="005E0152" w14:paraId="192AD9E6" w14:textId="77777777" w:rsidTr="00424970">
        <w:trPr>
          <w:trHeight w:val="329"/>
        </w:trPr>
        <w:tc>
          <w:tcPr>
            <w:tcW w:w="3504" w:type="dxa"/>
            <w:tcBorders>
              <w:top w:val="single" w:sz="4" w:space="0" w:color="auto"/>
              <w:left w:val="single" w:sz="4" w:space="0" w:color="auto"/>
              <w:bottom w:val="single" w:sz="4" w:space="0" w:color="auto"/>
              <w:right w:val="single" w:sz="4" w:space="0" w:color="auto"/>
            </w:tcBorders>
            <w:shd w:val="clear" w:color="auto" w:fill="969696"/>
          </w:tcPr>
          <w:p w14:paraId="504C95DF" w14:textId="77777777" w:rsidR="008708A5" w:rsidRPr="005E0152" w:rsidRDefault="008708A5" w:rsidP="00424970">
            <w:pPr>
              <w:spacing w:line="276" w:lineRule="auto"/>
              <w:jc w:val="both"/>
              <w:rPr>
                <w:rFonts w:asciiTheme="minorHAnsi" w:hAnsiTheme="minorHAnsi" w:cstheme="minorHAnsi"/>
                <w:b/>
                <w:bCs/>
                <w:szCs w:val="24"/>
                <w:lang w:val="en-US"/>
              </w:rPr>
            </w:pPr>
            <w:r w:rsidRPr="005E0152">
              <w:rPr>
                <w:rFonts w:asciiTheme="minorHAnsi" w:hAnsiTheme="minorHAnsi" w:cstheme="minorHAnsi"/>
                <w:b/>
                <w:bCs/>
                <w:szCs w:val="24"/>
                <w:lang w:val="en-US"/>
              </w:rPr>
              <w:t xml:space="preserve">      Business Name</w:t>
            </w:r>
          </w:p>
        </w:tc>
        <w:tc>
          <w:tcPr>
            <w:tcW w:w="5727" w:type="dxa"/>
            <w:tcBorders>
              <w:top w:val="single" w:sz="4" w:space="0" w:color="auto"/>
              <w:left w:val="nil"/>
              <w:bottom w:val="single" w:sz="4" w:space="0" w:color="auto"/>
              <w:right w:val="single" w:sz="4" w:space="0" w:color="auto"/>
            </w:tcBorders>
            <w:shd w:val="clear" w:color="auto" w:fill="969696"/>
          </w:tcPr>
          <w:p w14:paraId="251E5EE2" w14:textId="77777777" w:rsidR="008708A5" w:rsidRPr="005E0152" w:rsidRDefault="008708A5" w:rsidP="00424970">
            <w:pPr>
              <w:spacing w:line="276" w:lineRule="auto"/>
              <w:jc w:val="both"/>
              <w:rPr>
                <w:rFonts w:asciiTheme="minorHAnsi" w:hAnsiTheme="minorHAnsi" w:cstheme="minorHAnsi"/>
                <w:b/>
                <w:bCs/>
                <w:szCs w:val="24"/>
                <w:lang w:val="en-US"/>
              </w:rPr>
            </w:pPr>
            <w:r w:rsidRPr="005E0152">
              <w:rPr>
                <w:rFonts w:asciiTheme="minorHAnsi" w:hAnsiTheme="minorHAnsi" w:cstheme="minorHAnsi"/>
                <w:b/>
                <w:bCs/>
                <w:szCs w:val="24"/>
                <w:lang w:val="en-US"/>
              </w:rPr>
              <w:t>Business Purpose</w:t>
            </w:r>
          </w:p>
        </w:tc>
      </w:tr>
      <w:tr w:rsidR="008708A5" w:rsidRPr="005E0152" w14:paraId="58F1EE5B" w14:textId="77777777" w:rsidTr="00424970">
        <w:trPr>
          <w:trHeight w:val="329"/>
        </w:trPr>
        <w:tc>
          <w:tcPr>
            <w:tcW w:w="3504" w:type="dxa"/>
            <w:tcBorders>
              <w:top w:val="nil"/>
              <w:left w:val="single" w:sz="4" w:space="0" w:color="auto"/>
              <w:bottom w:val="single" w:sz="4" w:space="0" w:color="auto"/>
              <w:right w:val="single" w:sz="4" w:space="0" w:color="auto"/>
            </w:tcBorders>
            <w:shd w:val="clear" w:color="auto" w:fill="FFFFFF"/>
          </w:tcPr>
          <w:p w14:paraId="1BF5FF35"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Inversiones Aspi S.A.</w:t>
            </w:r>
          </w:p>
        </w:tc>
        <w:tc>
          <w:tcPr>
            <w:tcW w:w="5727" w:type="dxa"/>
            <w:tcBorders>
              <w:top w:val="nil"/>
              <w:left w:val="nil"/>
              <w:bottom w:val="single" w:sz="4" w:space="0" w:color="auto"/>
              <w:right w:val="single" w:sz="4" w:space="0" w:color="auto"/>
            </w:tcBorders>
            <w:shd w:val="clear" w:color="auto" w:fill="FFFFFF"/>
          </w:tcPr>
          <w:p w14:paraId="474C6600"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Investments</w:t>
            </w:r>
          </w:p>
        </w:tc>
      </w:tr>
      <w:tr w:rsidR="008708A5" w:rsidRPr="005E0152" w14:paraId="592AFC70" w14:textId="77777777" w:rsidTr="00424970">
        <w:trPr>
          <w:trHeight w:val="329"/>
        </w:trPr>
        <w:tc>
          <w:tcPr>
            <w:tcW w:w="3504" w:type="dxa"/>
            <w:tcBorders>
              <w:top w:val="nil"/>
              <w:left w:val="single" w:sz="4" w:space="0" w:color="auto"/>
              <w:bottom w:val="single" w:sz="4" w:space="0" w:color="auto"/>
              <w:right w:val="single" w:sz="4" w:space="0" w:color="auto"/>
            </w:tcBorders>
            <w:shd w:val="clear" w:color="auto" w:fill="FFFFFF"/>
          </w:tcPr>
          <w:p w14:paraId="54520986"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Cementos Pacasmayo S.A.A.</w:t>
            </w:r>
          </w:p>
        </w:tc>
        <w:tc>
          <w:tcPr>
            <w:tcW w:w="5727" w:type="dxa"/>
            <w:tcBorders>
              <w:top w:val="nil"/>
              <w:left w:val="nil"/>
              <w:bottom w:val="single" w:sz="4" w:space="0" w:color="auto"/>
              <w:right w:val="single" w:sz="4" w:space="0" w:color="auto"/>
            </w:tcBorders>
            <w:shd w:val="clear" w:color="auto" w:fill="FFFFFF"/>
          </w:tcPr>
          <w:p w14:paraId="6A444C2B"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Cement manufacturing and marketing</w:t>
            </w:r>
          </w:p>
        </w:tc>
      </w:tr>
      <w:tr w:rsidR="008708A5" w:rsidRPr="005E0152" w14:paraId="0291A9AF" w14:textId="77777777" w:rsidTr="00424970">
        <w:trPr>
          <w:trHeight w:val="329"/>
        </w:trPr>
        <w:tc>
          <w:tcPr>
            <w:tcW w:w="3504" w:type="dxa"/>
            <w:tcBorders>
              <w:top w:val="nil"/>
              <w:left w:val="single" w:sz="4" w:space="0" w:color="auto"/>
              <w:bottom w:val="single" w:sz="4" w:space="0" w:color="auto"/>
              <w:right w:val="single" w:sz="4" w:space="0" w:color="auto"/>
            </w:tcBorders>
            <w:shd w:val="clear" w:color="auto" w:fill="FFFFFF"/>
          </w:tcPr>
          <w:p w14:paraId="61234753"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Cementos Selva S.A.</w:t>
            </w:r>
          </w:p>
        </w:tc>
        <w:tc>
          <w:tcPr>
            <w:tcW w:w="5727" w:type="dxa"/>
            <w:tcBorders>
              <w:top w:val="nil"/>
              <w:left w:val="nil"/>
              <w:bottom w:val="single" w:sz="4" w:space="0" w:color="auto"/>
              <w:right w:val="single" w:sz="4" w:space="0" w:color="auto"/>
            </w:tcBorders>
            <w:shd w:val="clear" w:color="auto" w:fill="FFFFFF"/>
          </w:tcPr>
          <w:p w14:paraId="217437E9"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Cement manufacturing and marketing</w:t>
            </w:r>
          </w:p>
        </w:tc>
      </w:tr>
      <w:tr w:rsidR="008708A5" w:rsidRPr="005E0152" w14:paraId="2413C506" w14:textId="77777777" w:rsidTr="00424970">
        <w:trPr>
          <w:trHeight w:val="329"/>
        </w:trPr>
        <w:tc>
          <w:tcPr>
            <w:tcW w:w="3504" w:type="dxa"/>
            <w:tcBorders>
              <w:top w:val="nil"/>
              <w:left w:val="single" w:sz="4" w:space="0" w:color="auto"/>
              <w:bottom w:val="single" w:sz="4" w:space="0" w:color="auto"/>
              <w:right w:val="single" w:sz="4" w:space="0" w:color="auto"/>
            </w:tcBorders>
            <w:shd w:val="clear" w:color="auto" w:fill="FFFFFF"/>
          </w:tcPr>
          <w:p w14:paraId="29274F5B"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Distribuidora Norte Pacasmayo S.R.L.</w:t>
            </w:r>
          </w:p>
        </w:tc>
        <w:tc>
          <w:tcPr>
            <w:tcW w:w="5727" w:type="dxa"/>
            <w:tcBorders>
              <w:top w:val="nil"/>
              <w:left w:val="nil"/>
              <w:bottom w:val="single" w:sz="4" w:space="0" w:color="auto"/>
              <w:right w:val="single" w:sz="4" w:space="0" w:color="auto"/>
            </w:tcBorders>
            <w:shd w:val="clear" w:color="auto" w:fill="FFFFFF"/>
          </w:tcPr>
          <w:p w14:paraId="641C130D"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Distribution and marketing</w:t>
            </w:r>
          </w:p>
        </w:tc>
      </w:tr>
      <w:tr w:rsidR="008708A5" w:rsidRPr="005E0152" w14:paraId="2EFD3CA9" w14:textId="77777777" w:rsidTr="00424970">
        <w:trPr>
          <w:trHeight w:val="329"/>
        </w:trPr>
        <w:tc>
          <w:tcPr>
            <w:tcW w:w="3504" w:type="dxa"/>
            <w:tcBorders>
              <w:top w:val="nil"/>
              <w:left w:val="single" w:sz="4" w:space="0" w:color="auto"/>
              <w:bottom w:val="single" w:sz="4" w:space="0" w:color="auto"/>
              <w:right w:val="single" w:sz="4" w:space="0" w:color="auto"/>
            </w:tcBorders>
            <w:shd w:val="clear" w:color="auto" w:fill="FFFFFF"/>
          </w:tcPr>
          <w:p w14:paraId="257A2EDA"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Dinoselva Iquitos S.A.C.</w:t>
            </w:r>
          </w:p>
        </w:tc>
        <w:tc>
          <w:tcPr>
            <w:tcW w:w="5727" w:type="dxa"/>
            <w:tcBorders>
              <w:top w:val="nil"/>
              <w:left w:val="nil"/>
              <w:bottom w:val="single" w:sz="4" w:space="0" w:color="auto"/>
              <w:right w:val="single" w:sz="4" w:space="0" w:color="auto"/>
            </w:tcBorders>
            <w:shd w:val="clear" w:color="auto" w:fill="FFFFFF"/>
          </w:tcPr>
          <w:p w14:paraId="5B643976"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Distribution and marketing</w:t>
            </w:r>
          </w:p>
        </w:tc>
      </w:tr>
      <w:tr w:rsidR="008708A5" w:rsidRPr="005E0152" w14:paraId="4357754C" w14:textId="77777777" w:rsidTr="00424970">
        <w:trPr>
          <w:trHeight w:val="329"/>
        </w:trPr>
        <w:tc>
          <w:tcPr>
            <w:tcW w:w="3504" w:type="dxa"/>
            <w:tcBorders>
              <w:top w:val="nil"/>
              <w:left w:val="single" w:sz="4" w:space="0" w:color="auto"/>
              <w:bottom w:val="single" w:sz="4" w:space="0" w:color="auto"/>
              <w:right w:val="single" w:sz="4" w:space="0" w:color="auto"/>
            </w:tcBorders>
            <w:shd w:val="clear" w:color="auto" w:fill="FFFFFF"/>
          </w:tcPr>
          <w:p w14:paraId="440CDC3D"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Empresa de Transmisión  Guadalupe S.A.C.</w:t>
            </w:r>
          </w:p>
        </w:tc>
        <w:tc>
          <w:tcPr>
            <w:tcW w:w="5727" w:type="dxa"/>
            <w:tcBorders>
              <w:top w:val="nil"/>
              <w:left w:val="nil"/>
              <w:bottom w:val="single" w:sz="4" w:space="0" w:color="auto"/>
              <w:right w:val="single" w:sz="4" w:space="0" w:color="auto"/>
            </w:tcBorders>
            <w:shd w:val="clear" w:color="auto" w:fill="FFFFFF"/>
          </w:tcPr>
          <w:p w14:paraId="3C69D685"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Energy transmission</w:t>
            </w:r>
          </w:p>
        </w:tc>
      </w:tr>
      <w:tr w:rsidR="008708A5" w:rsidRPr="005E0152" w14:paraId="14979CC3" w14:textId="77777777" w:rsidTr="00424970">
        <w:trPr>
          <w:trHeight w:val="329"/>
        </w:trPr>
        <w:tc>
          <w:tcPr>
            <w:tcW w:w="3504" w:type="dxa"/>
            <w:tcBorders>
              <w:top w:val="nil"/>
              <w:left w:val="single" w:sz="4" w:space="0" w:color="auto"/>
              <w:bottom w:val="single" w:sz="4" w:space="0" w:color="auto"/>
              <w:right w:val="single" w:sz="4" w:space="0" w:color="auto"/>
            </w:tcBorders>
            <w:shd w:val="clear" w:color="auto" w:fill="FFFFFF"/>
          </w:tcPr>
          <w:p w14:paraId="0D3BBB4E"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Acuícola Los Paiches S.A.C.</w:t>
            </w:r>
          </w:p>
        </w:tc>
        <w:tc>
          <w:tcPr>
            <w:tcW w:w="5727" w:type="dxa"/>
            <w:tcBorders>
              <w:top w:val="nil"/>
              <w:left w:val="nil"/>
              <w:bottom w:val="single" w:sz="4" w:space="0" w:color="auto"/>
              <w:right w:val="single" w:sz="4" w:space="0" w:color="auto"/>
            </w:tcBorders>
            <w:shd w:val="clear" w:color="auto" w:fill="FFFFFF"/>
          </w:tcPr>
          <w:p w14:paraId="478D58E1"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Fishing and operation of fish farms</w:t>
            </w:r>
          </w:p>
        </w:tc>
      </w:tr>
      <w:tr w:rsidR="008708A5" w:rsidRPr="005E0152" w14:paraId="41EABF66" w14:textId="77777777" w:rsidTr="00424970">
        <w:trPr>
          <w:trHeight w:val="329"/>
        </w:trPr>
        <w:tc>
          <w:tcPr>
            <w:tcW w:w="3504" w:type="dxa"/>
            <w:tcBorders>
              <w:top w:val="nil"/>
              <w:left w:val="single" w:sz="4" w:space="0" w:color="auto"/>
              <w:bottom w:val="single" w:sz="4" w:space="0" w:color="auto"/>
              <w:right w:val="single" w:sz="4" w:space="0" w:color="auto"/>
            </w:tcBorders>
            <w:shd w:val="clear" w:color="auto" w:fill="FFFFFF"/>
          </w:tcPr>
          <w:p w14:paraId="1765A355"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Fosfatos del Pacífico S.A.</w:t>
            </w:r>
          </w:p>
        </w:tc>
        <w:tc>
          <w:tcPr>
            <w:tcW w:w="5727" w:type="dxa"/>
            <w:tcBorders>
              <w:top w:val="nil"/>
              <w:left w:val="nil"/>
              <w:bottom w:val="single" w:sz="4" w:space="0" w:color="auto"/>
              <w:right w:val="single" w:sz="4" w:space="0" w:color="auto"/>
            </w:tcBorders>
            <w:shd w:val="clear" w:color="auto" w:fill="FFFFFF"/>
          </w:tcPr>
          <w:p w14:paraId="3137BA17"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 xml:space="preserve">Mining activities for manufacturing fertilizers and chemical products </w:t>
            </w:r>
          </w:p>
        </w:tc>
      </w:tr>
      <w:tr w:rsidR="008708A5" w:rsidRPr="005E0152" w14:paraId="4D0BDF3D" w14:textId="77777777" w:rsidTr="00424970">
        <w:trPr>
          <w:trHeight w:val="329"/>
        </w:trPr>
        <w:tc>
          <w:tcPr>
            <w:tcW w:w="3504" w:type="dxa"/>
            <w:tcBorders>
              <w:top w:val="nil"/>
              <w:left w:val="single" w:sz="4" w:space="0" w:color="auto"/>
              <w:bottom w:val="single" w:sz="4" w:space="0" w:color="auto"/>
              <w:right w:val="single" w:sz="4" w:space="0" w:color="auto"/>
            </w:tcBorders>
            <w:shd w:val="clear" w:color="auto" w:fill="FFFFFF"/>
          </w:tcPr>
          <w:p w14:paraId="65BD8AFD"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Salmueras Sudamericanas S.A.</w:t>
            </w:r>
          </w:p>
        </w:tc>
        <w:tc>
          <w:tcPr>
            <w:tcW w:w="5727" w:type="dxa"/>
            <w:tcBorders>
              <w:top w:val="nil"/>
              <w:left w:val="nil"/>
              <w:bottom w:val="single" w:sz="4" w:space="0" w:color="auto"/>
              <w:right w:val="single" w:sz="4" w:space="0" w:color="auto"/>
            </w:tcBorders>
            <w:shd w:val="clear" w:color="auto" w:fill="FFFFFF"/>
          </w:tcPr>
          <w:p w14:paraId="3389EB12"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Mining activities for manufacturing salt, fertilizers and chemical products – Inactive since last quarter 2017.</w:t>
            </w:r>
          </w:p>
        </w:tc>
      </w:tr>
      <w:tr w:rsidR="008708A5" w:rsidRPr="005E0152" w14:paraId="1DF4DBA6" w14:textId="77777777" w:rsidTr="00424970">
        <w:trPr>
          <w:trHeight w:val="329"/>
        </w:trPr>
        <w:tc>
          <w:tcPr>
            <w:tcW w:w="3504" w:type="dxa"/>
            <w:tcBorders>
              <w:top w:val="single" w:sz="4" w:space="0" w:color="auto"/>
              <w:left w:val="single" w:sz="4" w:space="0" w:color="auto"/>
              <w:bottom w:val="single" w:sz="4" w:space="0" w:color="auto"/>
              <w:right w:val="single" w:sz="4" w:space="0" w:color="auto"/>
            </w:tcBorders>
            <w:shd w:val="clear" w:color="auto" w:fill="FFFFFF"/>
          </w:tcPr>
          <w:p w14:paraId="5B800EDC"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Calizas del Norte S.A.C. En Liquidación</w:t>
            </w:r>
          </w:p>
        </w:tc>
        <w:tc>
          <w:tcPr>
            <w:tcW w:w="5727" w:type="dxa"/>
            <w:tcBorders>
              <w:top w:val="single" w:sz="4" w:space="0" w:color="auto"/>
              <w:left w:val="nil"/>
              <w:bottom w:val="single" w:sz="4" w:space="0" w:color="auto"/>
              <w:right w:val="single" w:sz="4" w:space="0" w:color="auto"/>
            </w:tcBorders>
            <w:shd w:val="clear" w:color="auto" w:fill="FFFFFF"/>
          </w:tcPr>
          <w:p w14:paraId="5AC6F6BF"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Mining activities – Inactive since May 2016.</w:t>
            </w:r>
          </w:p>
        </w:tc>
      </w:tr>
      <w:tr w:rsidR="008708A5" w:rsidRPr="005E0152" w14:paraId="137F3BB3" w14:textId="77777777" w:rsidTr="00424970">
        <w:trPr>
          <w:trHeight w:val="329"/>
        </w:trPr>
        <w:tc>
          <w:tcPr>
            <w:tcW w:w="3504" w:type="dxa"/>
            <w:tcBorders>
              <w:top w:val="single" w:sz="4" w:space="0" w:color="auto"/>
              <w:left w:val="single" w:sz="4" w:space="0" w:color="auto"/>
              <w:bottom w:val="single" w:sz="4" w:space="0" w:color="auto"/>
              <w:right w:val="single" w:sz="4" w:space="0" w:color="auto"/>
            </w:tcBorders>
            <w:shd w:val="clear" w:color="auto" w:fill="FFFFFF"/>
          </w:tcPr>
          <w:p w14:paraId="559B361C"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Hochschild Mining PLC subsidiarias</w:t>
            </w:r>
          </w:p>
        </w:tc>
        <w:tc>
          <w:tcPr>
            <w:tcW w:w="5727" w:type="dxa"/>
            <w:tcBorders>
              <w:top w:val="single" w:sz="4" w:space="0" w:color="auto"/>
              <w:left w:val="nil"/>
              <w:bottom w:val="single" w:sz="4" w:space="0" w:color="auto"/>
              <w:right w:val="single" w:sz="4" w:space="0" w:color="auto"/>
            </w:tcBorders>
            <w:shd w:val="clear" w:color="auto" w:fill="FFFFFF"/>
          </w:tcPr>
          <w:p w14:paraId="3E77C2F6"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 xml:space="preserve">Mining activities </w:t>
            </w:r>
          </w:p>
        </w:tc>
      </w:tr>
      <w:tr w:rsidR="008708A5" w:rsidRPr="005E0152" w14:paraId="6E857605" w14:textId="77777777" w:rsidTr="00424970">
        <w:trPr>
          <w:trHeight w:val="329"/>
        </w:trPr>
        <w:tc>
          <w:tcPr>
            <w:tcW w:w="3504" w:type="dxa"/>
            <w:tcBorders>
              <w:top w:val="single" w:sz="4" w:space="0" w:color="auto"/>
              <w:left w:val="single" w:sz="4" w:space="0" w:color="auto"/>
              <w:bottom w:val="single" w:sz="4" w:space="0" w:color="auto"/>
              <w:right w:val="single" w:sz="4" w:space="0" w:color="auto"/>
            </w:tcBorders>
            <w:shd w:val="clear" w:color="auto" w:fill="FFFFFF"/>
          </w:tcPr>
          <w:p w14:paraId="1321FDD3"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Soluciones Takay S.A.C.</w:t>
            </w:r>
          </w:p>
        </w:tc>
        <w:tc>
          <w:tcPr>
            <w:tcW w:w="5727" w:type="dxa"/>
            <w:tcBorders>
              <w:top w:val="single" w:sz="4" w:space="0" w:color="auto"/>
              <w:left w:val="nil"/>
              <w:bottom w:val="single" w:sz="4" w:space="0" w:color="auto"/>
              <w:right w:val="single" w:sz="4" w:space="0" w:color="auto"/>
            </w:tcBorders>
            <w:shd w:val="clear" w:color="auto" w:fill="FFFFFF"/>
          </w:tcPr>
          <w:p w14:paraId="1A13392F" w14:textId="77777777" w:rsidR="008708A5" w:rsidRPr="005E0152" w:rsidRDefault="008708A5"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 xml:space="preserve">Advice and provision of information services, promotion, acquisition, and intermediation services for the management and development of real estate projects </w:t>
            </w:r>
          </w:p>
        </w:tc>
      </w:tr>
      <w:tr w:rsidR="00C22E27" w:rsidRPr="005E0152" w14:paraId="3CE86280" w14:textId="77777777" w:rsidTr="00424970">
        <w:trPr>
          <w:trHeight w:val="329"/>
        </w:trPr>
        <w:tc>
          <w:tcPr>
            <w:tcW w:w="3504" w:type="dxa"/>
            <w:tcBorders>
              <w:top w:val="single" w:sz="4" w:space="0" w:color="auto"/>
              <w:left w:val="single" w:sz="4" w:space="0" w:color="auto"/>
              <w:bottom w:val="single" w:sz="4" w:space="0" w:color="auto"/>
              <w:right w:val="single" w:sz="4" w:space="0" w:color="auto"/>
            </w:tcBorders>
            <w:shd w:val="clear" w:color="auto" w:fill="FFFFFF"/>
          </w:tcPr>
          <w:p w14:paraId="376514AC" w14:textId="3D0BAA03" w:rsidR="00C22E27" w:rsidRPr="005E0152" w:rsidRDefault="00C22E27"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150 Krea Inc.</w:t>
            </w:r>
          </w:p>
        </w:tc>
        <w:tc>
          <w:tcPr>
            <w:tcW w:w="5727" w:type="dxa"/>
            <w:tcBorders>
              <w:top w:val="single" w:sz="4" w:space="0" w:color="auto"/>
              <w:left w:val="nil"/>
              <w:bottom w:val="single" w:sz="4" w:space="0" w:color="auto"/>
              <w:right w:val="single" w:sz="4" w:space="0" w:color="auto"/>
            </w:tcBorders>
            <w:shd w:val="clear" w:color="auto" w:fill="FFFFFF"/>
          </w:tcPr>
          <w:p w14:paraId="3BD6DCFB" w14:textId="2858C395" w:rsidR="00C22E27" w:rsidRPr="005E0152" w:rsidRDefault="00C22E27" w:rsidP="00424970">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Lessors of intangible non-financial assets.</w:t>
            </w:r>
          </w:p>
        </w:tc>
      </w:tr>
    </w:tbl>
    <w:p w14:paraId="52FF59F6" w14:textId="2636AC99" w:rsidR="008708A5" w:rsidRPr="005E0152" w:rsidRDefault="008708A5" w:rsidP="00006B26">
      <w:pPr>
        <w:pStyle w:val="Textopredeterminado"/>
        <w:tabs>
          <w:tab w:val="left" w:pos="0"/>
          <w:tab w:val="left" w:pos="360"/>
        </w:tabs>
        <w:spacing w:line="276" w:lineRule="auto"/>
        <w:ind w:left="360"/>
        <w:jc w:val="both"/>
        <w:rPr>
          <w:rFonts w:asciiTheme="minorHAnsi" w:hAnsiTheme="minorHAnsi" w:cstheme="minorHAnsi"/>
          <w:szCs w:val="24"/>
          <w:lang w:val="en-US"/>
        </w:rPr>
      </w:pPr>
    </w:p>
    <w:p w14:paraId="1A8840F3" w14:textId="6941EFF2" w:rsidR="008708A5" w:rsidRPr="005E0152" w:rsidRDefault="008708A5" w:rsidP="00006B26">
      <w:pPr>
        <w:pStyle w:val="Textopredeterminado"/>
        <w:tabs>
          <w:tab w:val="left" w:pos="0"/>
          <w:tab w:val="left" w:pos="360"/>
        </w:tabs>
        <w:spacing w:line="276" w:lineRule="auto"/>
        <w:ind w:left="360"/>
        <w:jc w:val="both"/>
        <w:rPr>
          <w:rFonts w:asciiTheme="minorHAnsi" w:hAnsiTheme="minorHAnsi" w:cstheme="minorHAnsi"/>
          <w:szCs w:val="24"/>
          <w:lang w:val="en-US"/>
        </w:rPr>
      </w:pPr>
    </w:p>
    <w:p w14:paraId="219F0297" w14:textId="65E89BEA" w:rsidR="008708A5" w:rsidRPr="005E0152" w:rsidRDefault="008708A5">
      <w:pPr>
        <w:spacing w:after="200" w:line="276" w:lineRule="auto"/>
        <w:rPr>
          <w:rFonts w:asciiTheme="minorHAnsi" w:hAnsiTheme="minorHAnsi" w:cstheme="minorHAnsi"/>
          <w:szCs w:val="24"/>
          <w:lang w:val="en-US"/>
        </w:rPr>
      </w:pPr>
      <w:r w:rsidRPr="005E0152">
        <w:rPr>
          <w:rFonts w:asciiTheme="minorHAnsi" w:hAnsiTheme="minorHAnsi" w:cstheme="minorHAnsi"/>
          <w:szCs w:val="24"/>
          <w:lang w:val="en-US"/>
        </w:rPr>
        <w:br w:type="page"/>
      </w:r>
    </w:p>
    <w:p w14:paraId="27B23E45" w14:textId="77777777" w:rsidR="008708A5" w:rsidRPr="005E0152" w:rsidRDefault="008708A5" w:rsidP="00006B26">
      <w:pPr>
        <w:pStyle w:val="Textopredeterminado"/>
        <w:tabs>
          <w:tab w:val="left" w:pos="0"/>
          <w:tab w:val="left" w:pos="360"/>
        </w:tabs>
        <w:spacing w:line="276" w:lineRule="auto"/>
        <w:ind w:left="360"/>
        <w:jc w:val="both"/>
        <w:rPr>
          <w:rFonts w:asciiTheme="minorHAnsi" w:hAnsiTheme="minorHAnsi" w:cstheme="minorHAnsi"/>
          <w:szCs w:val="24"/>
          <w:lang w:val="en-US"/>
        </w:rPr>
      </w:pPr>
    </w:p>
    <w:p w14:paraId="2EF6D4F9" w14:textId="77777777" w:rsidR="009D238A" w:rsidRPr="005E0152" w:rsidRDefault="009D238A" w:rsidP="00C22E27">
      <w:pPr>
        <w:pStyle w:val="Textopredeterminado"/>
        <w:spacing w:line="276" w:lineRule="auto"/>
        <w:jc w:val="both"/>
        <w:rPr>
          <w:rFonts w:asciiTheme="minorHAnsi" w:hAnsiTheme="minorHAnsi" w:cstheme="minorHAnsi"/>
          <w:spacing w:val="20"/>
          <w:szCs w:val="24"/>
          <w:lang w:val="en-US"/>
        </w:rPr>
      </w:pPr>
    </w:p>
    <w:p w14:paraId="658E76AF" w14:textId="77777777" w:rsidR="00C22E27" w:rsidRPr="005E0152" w:rsidRDefault="00C22E27" w:rsidP="00C22E27">
      <w:pPr>
        <w:pStyle w:val="Textopredeterminado"/>
        <w:numPr>
          <w:ilvl w:val="0"/>
          <w:numId w:val="5"/>
        </w:num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 xml:space="preserve">The issuer's registered capital stock as of December 31, 2021, is S/. 8,261,239.00, and the capital pending registration as of December 31, 2021, is S/. 26,982,255.00, both fully subscribed and paid. </w:t>
      </w:r>
    </w:p>
    <w:p w14:paraId="256BFCBB" w14:textId="77777777" w:rsidR="00C22E27" w:rsidRPr="005E0152" w:rsidRDefault="00C22E27" w:rsidP="00C22E27">
      <w:pPr>
        <w:pStyle w:val="Textopredeterminado"/>
        <w:numPr>
          <w:ilvl w:val="0"/>
          <w:numId w:val="5"/>
        </w:num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 xml:space="preserve">Classes of shares issued: 8,261,239 common shares and 785,033 investment shares. </w:t>
      </w:r>
    </w:p>
    <w:p w14:paraId="3ACB4DA7" w14:textId="77777777" w:rsidR="00C22E27" w:rsidRPr="005E0152" w:rsidRDefault="00C22E27" w:rsidP="00C22E27">
      <w:pPr>
        <w:pStyle w:val="Textopredeterminado"/>
        <w:numPr>
          <w:ilvl w:val="0"/>
          <w:numId w:val="5"/>
        </w:num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Class of shares created: 26,982,255 common and 2,564,017 investment shares - Pending registration as of December 31, 2021.</w:t>
      </w:r>
    </w:p>
    <w:p w14:paraId="246ED098" w14:textId="7FDF18BD" w:rsidR="00C22E27" w:rsidRPr="005E0152" w:rsidRDefault="00C22E27" w:rsidP="00C22E27">
      <w:pPr>
        <w:pStyle w:val="Textopredeterminado"/>
        <w:numPr>
          <w:ilvl w:val="0"/>
          <w:numId w:val="5"/>
        </w:num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Share Number and Nominal Value</w:t>
      </w:r>
      <w:r w:rsidRPr="005E0152">
        <w:rPr>
          <w:rFonts w:asciiTheme="minorHAnsi" w:hAnsiTheme="minorHAnsi" w:cstheme="minorHAnsi"/>
          <w:szCs w:val="24"/>
          <w:lang w:val="en-US"/>
        </w:rPr>
        <w:t>: 26,982,255 common shares of S/ 1.00 each and 2,564,017 investment shares of S/ 1.00 each.</w:t>
      </w:r>
    </w:p>
    <w:p w14:paraId="39D99135" w14:textId="4A45114A" w:rsidR="00C22E27" w:rsidRPr="005E0152" w:rsidRDefault="00C22E27" w:rsidP="00C22E27">
      <w:pPr>
        <w:pStyle w:val="Textopredeterminado"/>
        <w:numPr>
          <w:ilvl w:val="0"/>
          <w:numId w:val="5"/>
        </w:num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Shareholding structure: The percentages of participation of individuals or legal entities owning 5% or more of the capital are as follows:</w:t>
      </w:r>
    </w:p>
    <w:p w14:paraId="6DBACFFF" w14:textId="13F92554" w:rsidR="00C22E27" w:rsidRPr="005E0152" w:rsidRDefault="00C22E27" w:rsidP="00006B26">
      <w:pPr>
        <w:pStyle w:val="Textopredeterminado"/>
        <w:spacing w:line="276" w:lineRule="auto"/>
        <w:jc w:val="both"/>
        <w:rPr>
          <w:rFonts w:asciiTheme="minorHAnsi" w:hAnsiTheme="minorHAnsi" w:cstheme="minorHAnsi"/>
          <w:szCs w:val="24"/>
          <w:lang w:val="en-US"/>
        </w:rPr>
      </w:pPr>
    </w:p>
    <w:p w14:paraId="6055248F" w14:textId="2D7CC867" w:rsidR="009D238A" w:rsidRPr="005E0152" w:rsidRDefault="00C22E27" w:rsidP="00006B26">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Shareholders with equity stake exceeding 5% of the social capital stock</w:t>
      </w:r>
      <w:r w:rsidR="00135FA6">
        <w:rPr>
          <w:rFonts w:asciiTheme="minorHAnsi" w:hAnsiTheme="minorHAnsi" w:cstheme="minorHAnsi"/>
          <w:szCs w:val="24"/>
          <w:lang w:val="en-US"/>
        </w:rPr>
        <w:t xml:space="preserve"> (pending registration)</w:t>
      </w:r>
      <w:r w:rsidRPr="005E0152">
        <w:rPr>
          <w:rFonts w:asciiTheme="minorHAnsi" w:hAnsiTheme="minorHAnsi" w:cstheme="minorHAnsi"/>
          <w:szCs w:val="24"/>
          <w:lang w:val="en-US"/>
        </w:rPr>
        <w:t>:</w:t>
      </w:r>
    </w:p>
    <w:p w14:paraId="3D687CD5" w14:textId="77777777" w:rsidR="009D238A" w:rsidRPr="005E0152" w:rsidRDefault="009D238A" w:rsidP="00006B26">
      <w:pPr>
        <w:pStyle w:val="Textopredeterminado"/>
        <w:spacing w:line="276" w:lineRule="auto"/>
        <w:jc w:val="both"/>
        <w:rPr>
          <w:rFonts w:asciiTheme="minorHAnsi" w:hAnsiTheme="minorHAnsi" w:cstheme="minorHAnsi"/>
          <w:szCs w:val="24"/>
          <w:lang w:val="en-US"/>
        </w:rPr>
      </w:pP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1883"/>
        <w:gridCol w:w="1980"/>
        <w:gridCol w:w="2160"/>
      </w:tblGrid>
      <w:tr w:rsidR="005F2528" w:rsidRPr="005E0152" w14:paraId="25D5E400" w14:textId="77777777" w:rsidTr="00ED15D6">
        <w:trPr>
          <w:trHeight w:val="293"/>
        </w:trPr>
        <w:tc>
          <w:tcPr>
            <w:tcW w:w="2977" w:type="dxa"/>
            <w:shd w:val="clear" w:color="auto" w:fill="A6A6A6" w:themeFill="background1" w:themeFillShade="A6"/>
          </w:tcPr>
          <w:p w14:paraId="1A3CC297" w14:textId="4129FE8C" w:rsidR="005F2528" w:rsidRPr="005E0152" w:rsidRDefault="00CB18E4" w:rsidP="00CB18E4">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b/>
                <w:szCs w:val="24"/>
                <w:lang w:val="en-US"/>
              </w:rPr>
              <w:t>Name</w:t>
            </w:r>
          </w:p>
        </w:tc>
        <w:tc>
          <w:tcPr>
            <w:tcW w:w="1883" w:type="dxa"/>
            <w:shd w:val="clear" w:color="auto" w:fill="A6A6A6" w:themeFill="background1" w:themeFillShade="A6"/>
          </w:tcPr>
          <w:p w14:paraId="2801D779" w14:textId="217A121E" w:rsidR="005F2528" w:rsidRPr="005E0152" w:rsidRDefault="00CB18E4" w:rsidP="00ED15D6">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b/>
                <w:szCs w:val="24"/>
                <w:lang w:val="en-US"/>
              </w:rPr>
              <w:t>Shareholding</w:t>
            </w:r>
          </w:p>
        </w:tc>
        <w:tc>
          <w:tcPr>
            <w:tcW w:w="1980" w:type="dxa"/>
            <w:shd w:val="clear" w:color="auto" w:fill="A6A6A6" w:themeFill="background1" w:themeFillShade="A6"/>
          </w:tcPr>
          <w:p w14:paraId="69B414C5" w14:textId="191D1D79" w:rsidR="005F2528" w:rsidRPr="005E0152" w:rsidRDefault="00135FA6" w:rsidP="00ED15D6">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b/>
                <w:szCs w:val="24"/>
                <w:lang w:val="en-US"/>
              </w:rPr>
              <w:t>Nationality</w:t>
            </w:r>
          </w:p>
        </w:tc>
        <w:tc>
          <w:tcPr>
            <w:tcW w:w="2160" w:type="dxa"/>
            <w:shd w:val="clear" w:color="auto" w:fill="A6A6A6" w:themeFill="background1" w:themeFillShade="A6"/>
          </w:tcPr>
          <w:p w14:paraId="3C8DC546" w14:textId="4EF4E2BA" w:rsidR="005F2528" w:rsidRPr="005E0152" w:rsidRDefault="005F2528" w:rsidP="00CB18E4">
            <w:pPr>
              <w:pStyle w:val="Textopredeterminado"/>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Econ</w:t>
            </w:r>
            <w:r w:rsidR="00CB18E4" w:rsidRPr="005E0152">
              <w:rPr>
                <w:rFonts w:asciiTheme="minorHAnsi" w:hAnsiTheme="minorHAnsi" w:cstheme="minorHAnsi"/>
                <w:b/>
                <w:szCs w:val="24"/>
                <w:lang w:val="en-US"/>
              </w:rPr>
              <w:t>omic Group</w:t>
            </w:r>
          </w:p>
        </w:tc>
      </w:tr>
      <w:tr w:rsidR="005F2528" w:rsidRPr="005E0152" w14:paraId="6AA8FE2D" w14:textId="77777777" w:rsidTr="00ED15D6">
        <w:trPr>
          <w:trHeight w:val="293"/>
        </w:trPr>
        <w:tc>
          <w:tcPr>
            <w:tcW w:w="2977" w:type="dxa"/>
          </w:tcPr>
          <w:p w14:paraId="1998981D" w14:textId="6E8FDB96" w:rsidR="005F2528" w:rsidRPr="005E0152" w:rsidRDefault="005F2528" w:rsidP="00ED15D6">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Inversiones A</w:t>
            </w:r>
            <w:r w:rsidR="00476BE0" w:rsidRPr="005E0152">
              <w:rPr>
                <w:rFonts w:asciiTheme="minorHAnsi" w:hAnsiTheme="minorHAnsi" w:cstheme="minorHAnsi"/>
                <w:szCs w:val="24"/>
                <w:lang w:val="en-US"/>
              </w:rPr>
              <w:t>SPI</w:t>
            </w:r>
            <w:r w:rsidRPr="005E0152">
              <w:rPr>
                <w:rFonts w:asciiTheme="minorHAnsi" w:hAnsiTheme="minorHAnsi" w:cstheme="minorHAnsi"/>
                <w:szCs w:val="24"/>
                <w:lang w:val="en-US"/>
              </w:rPr>
              <w:t xml:space="preserve"> S.A.</w:t>
            </w:r>
          </w:p>
          <w:p w14:paraId="0E104849" w14:textId="77777777" w:rsidR="005F2528" w:rsidRPr="005E0152" w:rsidRDefault="005F2528" w:rsidP="00ED15D6">
            <w:pPr>
              <w:pStyle w:val="Textopredeterminado"/>
              <w:spacing w:line="276" w:lineRule="auto"/>
              <w:jc w:val="both"/>
              <w:rPr>
                <w:rFonts w:asciiTheme="minorHAnsi" w:hAnsiTheme="minorHAnsi" w:cstheme="minorHAnsi"/>
                <w:szCs w:val="24"/>
                <w:lang w:val="en-US"/>
              </w:rPr>
            </w:pPr>
          </w:p>
        </w:tc>
        <w:tc>
          <w:tcPr>
            <w:tcW w:w="1883" w:type="dxa"/>
            <w:shd w:val="clear" w:color="auto" w:fill="auto"/>
          </w:tcPr>
          <w:p w14:paraId="21B1D164" w14:textId="77777777" w:rsidR="005F2528" w:rsidRPr="005E0152" w:rsidRDefault="005F2528" w:rsidP="00ED15D6">
            <w:pPr>
              <w:pStyle w:val="Textopredeterminado"/>
              <w:spacing w:line="276" w:lineRule="auto"/>
              <w:jc w:val="center"/>
              <w:rPr>
                <w:rFonts w:asciiTheme="minorHAnsi" w:hAnsiTheme="minorHAnsi" w:cstheme="minorHAnsi"/>
                <w:szCs w:val="24"/>
                <w:lang w:val="en-US"/>
              </w:rPr>
            </w:pPr>
            <w:r w:rsidRPr="005E0152">
              <w:rPr>
                <w:rFonts w:asciiTheme="minorHAnsi" w:hAnsiTheme="minorHAnsi" w:cstheme="minorHAnsi"/>
                <w:szCs w:val="24"/>
                <w:lang w:val="en-US"/>
              </w:rPr>
              <w:t>84.21%</w:t>
            </w:r>
          </w:p>
        </w:tc>
        <w:tc>
          <w:tcPr>
            <w:tcW w:w="1980" w:type="dxa"/>
          </w:tcPr>
          <w:p w14:paraId="3DBABDFF" w14:textId="75308F9C" w:rsidR="005F2528" w:rsidRPr="005E0152" w:rsidRDefault="005F2528" w:rsidP="00CB18E4">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Peru</w:t>
            </w:r>
            <w:r w:rsidR="00CB18E4" w:rsidRPr="005E0152">
              <w:rPr>
                <w:rFonts w:asciiTheme="minorHAnsi" w:hAnsiTheme="minorHAnsi" w:cstheme="minorHAnsi"/>
                <w:szCs w:val="24"/>
                <w:lang w:val="en-US"/>
              </w:rPr>
              <w:t>vian</w:t>
            </w:r>
          </w:p>
        </w:tc>
        <w:tc>
          <w:tcPr>
            <w:tcW w:w="2160" w:type="dxa"/>
          </w:tcPr>
          <w:p w14:paraId="4017C337" w14:textId="77777777" w:rsidR="005F2528" w:rsidRPr="005E0152" w:rsidRDefault="005F2528" w:rsidP="00ED15D6">
            <w:pPr>
              <w:pStyle w:val="Textopredeterminado"/>
              <w:spacing w:line="276" w:lineRule="auto"/>
              <w:jc w:val="center"/>
              <w:rPr>
                <w:rFonts w:asciiTheme="minorHAnsi" w:hAnsiTheme="minorHAnsi" w:cstheme="minorHAnsi"/>
                <w:szCs w:val="24"/>
                <w:lang w:val="en-US"/>
              </w:rPr>
            </w:pPr>
            <w:r w:rsidRPr="005E0152">
              <w:rPr>
                <w:rFonts w:asciiTheme="minorHAnsi" w:hAnsiTheme="minorHAnsi" w:cstheme="minorHAnsi"/>
                <w:szCs w:val="24"/>
                <w:lang w:val="en-US"/>
              </w:rPr>
              <w:t>Hochschild – Pacasmayo</w:t>
            </w:r>
          </w:p>
        </w:tc>
      </w:tr>
    </w:tbl>
    <w:p w14:paraId="16DECF04" w14:textId="77777777" w:rsidR="009D238A" w:rsidRPr="005E0152" w:rsidRDefault="009D238A" w:rsidP="00006B26">
      <w:pPr>
        <w:pStyle w:val="Textopredeterminado"/>
        <w:spacing w:line="276" w:lineRule="auto"/>
        <w:jc w:val="both"/>
        <w:rPr>
          <w:rFonts w:asciiTheme="minorHAnsi" w:hAnsiTheme="minorHAnsi" w:cstheme="minorHAnsi"/>
          <w:spacing w:val="20"/>
          <w:szCs w:val="24"/>
          <w:lang w:val="en-US"/>
        </w:rPr>
      </w:pPr>
    </w:p>
    <w:p w14:paraId="7DE5E456" w14:textId="15421C53" w:rsidR="001F5D8A" w:rsidRPr="005E0152" w:rsidRDefault="001F5D8A" w:rsidP="00006B26">
      <w:pPr>
        <w:pStyle w:val="Textoindependiente"/>
        <w:spacing w:line="276" w:lineRule="auto"/>
        <w:jc w:val="both"/>
        <w:rPr>
          <w:rFonts w:asciiTheme="minorHAnsi" w:hAnsiTheme="minorHAnsi" w:cstheme="minorHAnsi"/>
          <w:sz w:val="24"/>
          <w:szCs w:val="24"/>
          <w:lang w:val="en-US"/>
        </w:rPr>
      </w:pPr>
      <w:r w:rsidRPr="005E0152">
        <w:rPr>
          <w:rFonts w:asciiTheme="minorHAnsi" w:hAnsiTheme="minorHAnsi" w:cstheme="minorHAnsi"/>
          <w:sz w:val="24"/>
          <w:szCs w:val="24"/>
          <w:lang w:val="en-US"/>
        </w:rPr>
        <w:t>Shareholder structure: Percentage of shareholding for the 10 main common shareholders is as follows</w:t>
      </w:r>
      <w:r w:rsidRPr="005E0152">
        <w:rPr>
          <w:rFonts w:asciiTheme="minorHAnsi" w:hAnsiTheme="minorHAnsi" w:cstheme="minorHAnsi"/>
          <w:sz w:val="24"/>
          <w:szCs w:val="24"/>
          <w:lang w:val="en-US"/>
        </w:rPr>
        <w:t xml:space="preserve"> (pending registration):</w:t>
      </w:r>
    </w:p>
    <w:p w14:paraId="50271B91" w14:textId="77777777" w:rsidR="009D238A" w:rsidRPr="005E0152" w:rsidRDefault="009D238A" w:rsidP="00006B26">
      <w:pPr>
        <w:pStyle w:val="Textoindependiente"/>
        <w:spacing w:line="276" w:lineRule="auto"/>
        <w:jc w:val="both"/>
        <w:rPr>
          <w:rFonts w:asciiTheme="minorHAnsi" w:hAnsiTheme="minorHAnsi" w:cstheme="minorHAnsi"/>
          <w:sz w:val="24"/>
          <w:szCs w:val="24"/>
          <w:lang w:val="en-US"/>
        </w:rPr>
      </w:pPr>
    </w:p>
    <w:tbl>
      <w:tblPr>
        <w:tblW w:w="0" w:type="auto"/>
        <w:tblInd w:w="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701"/>
      </w:tblGrid>
      <w:tr w:rsidR="008956E9" w:rsidRPr="005E0152" w14:paraId="012D74ED" w14:textId="77777777" w:rsidTr="002A6975">
        <w:trPr>
          <w:cantSplit/>
        </w:trPr>
        <w:tc>
          <w:tcPr>
            <w:tcW w:w="1560" w:type="dxa"/>
          </w:tcPr>
          <w:p w14:paraId="075974C1" w14:textId="77777777" w:rsidR="009D238A" w:rsidRPr="005E0152" w:rsidRDefault="008956E9" w:rsidP="00006B26">
            <w:pPr>
              <w:pStyle w:val="296"/>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1.</w:t>
            </w:r>
          </w:p>
          <w:p w14:paraId="0DE0B2E2" w14:textId="77777777" w:rsidR="009D238A" w:rsidRPr="005E0152" w:rsidRDefault="008956E9" w:rsidP="00006B26">
            <w:pPr>
              <w:pStyle w:val="296"/>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2.</w:t>
            </w:r>
          </w:p>
          <w:p w14:paraId="003B465F" w14:textId="77777777" w:rsidR="009D238A" w:rsidRPr="005E0152" w:rsidRDefault="008956E9" w:rsidP="00006B26">
            <w:pPr>
              <w:pStyle w:val="296"/>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3.</w:t>
            </w:r>
          </w:p>
          <w:p w14:paraId="7D075BD0" w14:textId="77777777" w:rsidR="009D238A" w:rsidRPr="005E0152" w:rsidRDefault="008956E9" w:rsidP="00006B26">
            <w:pPr>
              <w:pStyle w:val="296"/>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4.</w:t>
            </w:r>
          </w:p>
          <w:p w14:paraId="1E5A2856" w14:textId="77777777" w:rsidR="009D238A" w:rsidRPr="005E0152" w:rsidRDefault="008956E9" w:rsidP="00006B26">
            <w:pPr>
              <w:pStyle w:val="296"/>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5.</w:t>
            </w:r>
          </w:p>
          <w:p w14:paraId="03CA3127" w14:textId="77777777" w:rsidR="009D238A" w:rsidRPr="005E0152" w:rsidRDefault="008956E9" w:rsidP="00006B26">
            <w:pPr>
              <w:pStyle w:val="296"/>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6.</w:t>
            </w:r>
          </w:p>
          <w:p w14:paraId="7ECC6AB3" w14:textId="77777777" w:rsidR="009D238A" w:rsidRPr="005E0152" w:rsidRDefault="008956E9" w:rsidP="00006B26">
            <w:pPr>
              <w:pStyle w:val="296"/>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7.</w:t>
            </w:r>
          </w:p>
          <w:p w14:paraId="03264473" w14:textId="77777777" w:rsidR="009D238A" w:rsidRPr="005E0152" w:rsidRDefault="008956E9" w:rsidP="00006B26">
            <w:pPr>
              <w:pStyle w:val="296"/>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8.</w:t>
            </w:r>
          </w:p>
          <w:p w14:paraId="6E1CA726" w14:textId="77777777" w:rsidR="009D238A" w:rsidRPr="005E0152" w:rsidRDefault="006964ED" w:rsidP="00006B26">
            <w:pPr>
              <w:pStyle w:val="296"/>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9.</w:t>
            </w:r>
          </w:p>
          <w:p w14:paraId="5C453F90" w14:textId="77777777" w:rsidR="009D238A" w:rsidRPr="005E0152" w:rsidRDefault="006964ED" w:rsidP="00006B26">
            <w:pPr>
              <w:pStyle w:val="296"/>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10.</w:t>
            </w:r>
          </w:p>
        </w:tc>
        <w:tc>
          <w:tcPr>
            <w:tcW w:w="1701" w:type="dxa"/>
          </w:tcPr>
          <w:p w14:paraId="67A4514D" w14:textId="56CB7B39" w:rsidR="009D238A" w:rsidRPr="005E0152" w:rsidRDefault="005F2528" w:rsidP="00006B26">
            <w:pPr>
              <w:pStyle w:val="296"/>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84.2</w:t>
            </w:r>
            <w:r w:rsidR="00A37512" w:rsidRPr="005E0152">
              <w:rPr>
                <w:rFonts w:asciiTheme="minorHAnsi" w:hAnsiTheme="minorHAnsi" w:cstheme="minorHAnsi"/>
                <w:sz w:val="24"/>
                <w:szCs w:val="24"/>
              </w:rPr>
              <w:t xml:space="preserve">1 </w:t>
            </w:r>
            <w:r w:rsidR="006964ED" w:rsidRPr="005E0152">
              <w:rPr>
                <w:rFonts w:asciiTheme="minorHAnsi" w:hAnsiTheme="minorHAnsi" w:cstheme="minorHAnsi"/>
                <w:sz w:val="24"/>
                <w:szCs w:val="24"/>
              </w:rPr>
              <w:t>%</w:t>
            </w:r>
          </w:p>
          <w:p w14:paraId="25CFD695" w14:textId="5DFC9191" w:rsidR="009D238A" w:rsidRPr="005E0152" w:rsidRDefault="005F2528" w:rsidP="00006B26">
            <w:pPr>
              <w:pStyle w:val="296"/>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3.99</w:t>
            </w:r>
            <w:r w:rsidR="006964ED" w:rsidRPr="005E0152">
              <w:rPr>
                <w:rFonts w:asciiTheme="minorHAnsi" w:hAnsiTheme="minorHAnsi" w:cstheme="minorHAnsi"/>
                <w:sz w:val="24"/>
                <w:szCs w:val="24"/>
              </w:rPr>
              <w:t xml:space="preserve"> %</w:t>
            </w:r>
          </w:p>
          <w:p w14:paraId="3167E347" w14:textId="2EB0F018" w:rsidR="009D238A" w:rsidRPr="005E0152" w:rsidRDefault="005F2528" w:rsidP="00006B26">
            <w:pPr>
              <w:pStyle w:val="296"/>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3</w:t>
            </w:r>
            <w:r w:rsidR="006F5868" w:rsidRPr="005E0152">
              <w:rPr>
                <w:rFonts w:asciiTheme="minorHAnsi" w:hAnsiTheme="minorHAnsi" w:cstheme="minorHAnsi"/>
                <w:sz w:val="24"/>
                <w:szCs w:val="24"/>
              </w:rPr>
              <w:t>.</w:t>
            </w:r>
            <w:r w:rsidRPr="005E0152">
              <w:rPr>
                <w:rFonts w:asciiTheme="minorHAnsi" w:hAnsiTheme="minorHAnsi" w:cstheme="minorHAnsi"/>
                <w:sz w:val="24"/>
                <w:szCs w:val="24"/>
              </w:rPr>
              <w:t>21</w:t>
            </w:r>
            <w:r w:rsidR="006964ED" w:rsidRPr="005E0152">
              <w:rPr>
                <w:rFonts w:asciiTheme="minorHAnsi" w:hAnsiTheme="minorHAnsi" w:cstheme="minorHAnsi"/>
                <w:sz w:val="24"/>
                <w:szCs w:val="24"/>
              </w:rPr>
              <w:t xml:space="preserve"> %</w:t>
            </w:r>
          </w:p>
          <w:p w14:paraId="7986E9C4" w14:textId="41B9DE9E" w:rsidR="009D238A" w:rsidRPr="005E0152" w:rsidRDefault="005F2528" w:rsidP="00006B26">
            <w:pPr>
              <w:pStyle w:val="296"/>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1.04</w:t>
            </w:r>
            <w:r w:rsidR="006964ED" w:rsidRPr="005E0152">
              <w:rPr>
                <w:rFonts w:asciiTheme="minorHAnsi" w:hAnsiTheme="minorHAnsi" w:cstheme="minorHAnsi"/>
                <w:sz w:val="24"/>
                <w:szCs w:val="24"/>
              </w:rPr>
              <w:t xml:space="preserve"> %</w:t>
            </w:r>
          </w:p>
          <w:p w14:paraId="47C2EF47" w14:textId="6645F0D3" w:rsidR="009D238A" w:rsidRPr="005E0152" w:rsidRDefault="005F2528" w:rsidP="00006B26">
            <w:pPr>
              <w:pStyle w:val="296"/>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0.75</w:t>
            </w:r>
            <w:r w:rsidR="006964ED" w:rsidRPr="005E0152">
              <w:rPr>
                <w:rFonts w:asciiTheme="minorHAnsi" w:hAnsiTheme="minorHAnsi" w:cstheme="minorHAnsi"/>
                <w:sz w:val="24"/>
                <w:szCs w:val="24"/>
              </w:rPr>
              <w:t xml:space="preserve"> %</w:t>
            </w:r>
          </w:p>
          <w:p w14:paraId="1C624000" w14:textId="3504C8B7" w:rsidR="009D238A" w:rsidRPr="005E0152" w:rsidRDefault="005F2528" w:rsidP="00006B26">
            <w:pPr>
              <w:pStyle w:val="296"/>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 xml:space="preserve">0.74 </w:t>
            </w:r>
            <w:r w:rsidR="006964ED" w:rsidRPr="005E0152">
              <w:rPr>
                <w:rFonts w:asciiTheme="minorHAnsi" w:hAnsiTheme="minorHAnsi" w:cstheme="minorHAnsi"/>
                <w:sz w:val="24"/>
                <w:szCs w:val="24"/>
              </w:rPr>
              <w:t>%</w:t>
            </w:r>
          </w:p>
          <w:p w14:paraId="003E053D" w14:textId="2FD0708A" w:rsidR="009D238A" w:rsidRPr="005E0152" w:rsidRDefault="005F2528" w:rsidP="00006B26">
            <w:pPr>
              <w:pStyle w:val="296"/>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 xml:space="preserve">0.52 </w:t>
            </w:r>
            <w:r w:rsidR="006964ED" w:rsidRPr="005E0152">
              <w:rPr>
                <w:rFonts w:asciiTheme="minorHAnsi" w:hAnsiTheme="minorHAnsi" w:cstheme="minorHAnsi"/>
                <w:sz w:val="24"/>
                <w:szCs w:val="24"/>
              </w:rPr>
              <w:t>%</w:t>
            </w:r>
          </w:p>
          <w:p w14:paraId="665BA257" w14:textId="4CF12D3D" w:rsidR="009D238A" w:rsidRPr="005E0152" w:rsidRDefault="005F2528" w:rsidP="00006B26">
            <w:pPr>
              <w:pStyle w:val="296"/>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0.47</w:t>
            </w:r>
            <w:r w:rsidR="006964ED" w:rsidRPr="005E0152">
              <w:rPr>
                <w:rFonts w:asciiTheme="minorHAnsi" w:hAnsiTheme="minorHAnsi" w:cstheme="minorHAnsi"/>
                <w:sz w:val="24"/>
                <w:szCs w:val="24"/>
              </w:rPr>
              <w:t xml:space="preserve"> %</w:t>
            </w:r>
          </w:p>
          <w:p w14:paraId="646FD1C0" w14:textId="684599BB" w:rsidR="009D238A" w:rsidRPr="005E0152" w:rsidRDefault="005F2528" w:rsidP="00006B26">
            <w:pPr>
              <w:pStyle w:val="296"/>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0.47</w:t>
            </w:r>
            <w:r w:rsidR="006964ED" w:rsidRPr="005E0152">
              <w:rPr>
                <w:rFonts w:asciiTheme="minorHAnsi" w:hAnsiTheme="minorHAnsi" w:cstheme="minorHAnsi"/>
                <w:sz w:val="24"/>
                <w:szCs w:val="24"/>
              </w:rPr>
              <w:t xml:space="preserve"> %</w:t>
            </w:r>
          </w:p>
          <w:p w14:paraId="30CE9B6D" w14:textId="0FB2D78C" w:rsidR="009D238A" w:rsidRPr="005E0152" w:rsidRDefault="005F2528" w:rsidP="00006B26">
            <w:pPr>
              <w:pStyle w:val="296"/>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0.38</w:t>
            </w:r>
            <w:r w:rsidR="008956E9" w:rsidRPr="005E0152">
              <w:rPr>
                <w:rFonts w:asciiTheme="minorHAnsi" w:hAnsiTheme="minorHAnsi" w:cstheme="minorHAnsi"/>
                <w:sz w:val="24"/>
                <w:szCs w:val="24"/>
              </w:rPr>
              <w:t xml:space="preserve"> %</w:t>
            </w:r>
          </w:p>
        </w:tc>
      </w:tr>
    </w:tbl>
    <w:p w14:paraId="47EB50C9" w14:textId="77777777" w:rsidR="009D238A" w:rsidRPr="005E0152" w:rsidRDefault="009D238A" w:rsidP="00006B26">
      <w:pPr>
        <w:pStyle w:val="Textopredeterminado"/>
        <w:spacing w:line="276" w:lineRule="auto"/>
        <w:jc w:val="both"/>
        <w:rPr>
          <w:rFonts w:asciiTheme="minorHAnsi" w:hAnsiTheme="minorHAnsi" w:cstheme="minorHAnsi"/>
          <w:spacing w:val="20"/>
          <w:szCs w:val="24"/>
          <w:lang w:val="en-US"/>
        </w:rPr>
      </w:pPr>
    </w:p>
    <w:p w14:paraId="25A95615" w14:textId="77777777" w:rsidR="001F5D8A" w:rsidRPr="005E0152" w:rsidRDefault="001F5D8A">
      <w:pPr>
        <w:spacing w:after="200" w:line="276" w:lineRule="auto"/>
        <w:rPr>
          <w:rFonts w:asciiTheme="minorHAnsi" w:hAnsiTheme="minorHAnsi" w:cstheme="minorHAnsi"/>
          <w:szCs w:val="24"/>
          <w:lang w:val="en-US"/>
        </w:rPr>
      </w:pPr>
      <w:r w:rsidRPr="005E0152">
        <w:rPr>
          <w:rFonts w:asciiTheme="minorHAnsi" w:hAnsiTheme="minorHAnsi" w:cstheme="minorHAnsi"/>
          <w:szCs w:val="24"/>
          <w:lang w:val="en-US"/>
        </w:rPr>
        <w:br w:type="page"/>
      </w:r>
    </w:p>
    <w:p w14:paraId="2986FAB3" w14:textId="0A1012AE" w:rsidR="009D238A" w:rsidRPr="005E0152" w:rsidRDefault="001F5D8A" w:rsidP="00006B26">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lastRenderedPageBreak/>
        <w:t xml:space="preserve">Shares entitled to vote </w:t>
      </w:r>
      <w:r w:rsidRPr="005E0152">
        <w:rPr>
          <w:rFonts w:asciiTheme="minorHAnsi" w:hAnsiTheme="minorHAnsi" w:cstheme="minorHAnsi"/>
          <w:szCs w:val="24"/>
          <w:lang w:val="en-US"/>
        </w:rPr>
        <w:t>(pending registration):</w:t>
      </w:r>
      <w:r w:rsidRPr="005E0152">
        <w:rPr>
          <w:rFonts w:asciiTheme="minorHAnsi" w:hAnsiTheme="minorHAnsi" w:cstheme="minorHAnsi"/>
          <w:szCs w:val="24"/>
          <w:lang w:val="en-US"/>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0"/>
        <w:gridCol w:w="2703"/>
        <w:gridCol w:w="2911"/>
      </w:tblGrid>
      <w:tr w:rsidR="008956E9" w:rsidRPr="005E0152" w14:paraId="197FFC98" w14:textId="77777777" w:rsidTr="00436C8E">
        <w:tc>
          <w:tcPr>
            <w:tcW w:w="2810" w:type="dxa"/>
            <w:shd w:val="clear" w:color="auto" w:fill="A6A6A6" w:themeFill="background1" w:themeFillShade="A6"/>
            <w:vAlign w:val="center"/>
          </w:tcPr>
          <w:p w14:paraId="3A4C7580" w14:textId="7C50D0E7" w:rsidR="009D238A" w:rsidRPr="005E0152" w:rsidRDefault="001F5D8A" w:rsidP="001F5D8A">
            <w:pPr>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Holding</w:t>
            </w:r>
          </w:p>
        </w:tc>
        <w:tc>
          <w:tcPr>
            <w:tcW w:w="2703" w:type="dxa"/>
            <w:shd w:val="clear" w:color="auto" w:fill="A6A6A6" w:themeFill="background1" w:themeFillShade="A6"/>
            <w:vAlign w:val="center"/>
          </w:tcPr>
          <w:p w14:paraId="22448C7D" w14:textId="155F507E" w:rsidR="009D238A" w:rsidRPr="005E0152" w:rsidRDefault="008956E9" w:rsidP="001F5D8A">
            <w:pPr>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N</w:t>
            </w:r>
            <w:r w:rsidR="001F5D8A" w:rsidRPr="005E0152">
              <w:rPr>
                <w:rFonts w:asciiTheme="minorHAnsi" w:hAnsiTheme="minorHAnsi" w:cstheme="minorHAnsi"/>
                <w:b/>
                <w:szCs w:val="24"/>
                <w:lang w:val="en-US"/>
              </w:rPr>
              <w:t>umber of Shareholders</w:t>
            </w:r>
          </w:p>
        </w:tc>
        <w:tc>
          <w:tcPr>
            <w:tcW w:w="2911" w:type="dxa"/>
            <w:shd w:val="clear" w:color="auto" w:fill="A6A6A6" w:themeFill="background1" w:themeFillShade="A6"/>
            <w:vAlign w:val="center"/>
          </w:tcPr>
          <w:p w14:paraId="3ACE5AD9" w14:textId="4C293485" w:rsidR="009D238A" w:rsidRPr="005E0152" w:rsidRDefault="001F5D8A" w:rsidP="001F5D8A">
            <w:pPr>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Percentage of participation</w:t>
            </w:r>
          </w:p>
        </w:tc>
      </w:tr>
      <w:tr w:rsidR="00436C8E" w:rsidRPr="005E0152" w14:paraId="13B5A83B" w14:textId="77777777" w:rsidTr="00436C8E">
        <w:tc>
          <w:tcPr>
            <w:tcW w:w="2810" w:type="dxa"/>
          </w:tcPr>
          <w:p w14:paraId="5E0A0AD0" w14:textId="79DD8F2F" w:rsidR="00436C8E" w:rsidRPr="005E0152" w:rsidRDefault="001F5D8A" w:rsidP="001F5D8A">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Less than</w:t>
            </w:r>
            <w:r w:rsidR="00436C8E" w:rsidRPr="005E0152">
              <w:rPr>
                <w:rFonts w:asciiTheme="minorHAnsi" w:hAnsiTheme="minorHAnsi" w:cstheme="minorHAnsi"/>
                <w:szCs w:val="24"/>
                <w:lang w:val="en-US"/>
              </w:rPr>
              <w:t xml:space="preserve"> 1%</w:t>
            </w:r>
          </w:p>
        </w:tc>
        <w:tc>
          <w:tcPr>
            <w:tcW w:w="2703" w:type="dxa"/>
            <w:vAlign w:val="center"/>
          </w:tcPr>
          <w:p w14:paraId="424DC539" w14:textId="4B16635B" w:rsidR="00436C8E" w:rsidRPr="005E0152" w:rsidRDefault="00436C8E" w:rsidP="00436C8E">
            <w:pPr>
              <w:spacing w:line="276" w:lineRule="auto"/>
              <w:ind w:right="767"/>
              <w:jc w:val="both"/>
              <w:rPr>
                <w:rFonts w:asciiTheme="minorHAnsi" w:hAnsiTheme="minorHAnsi" w:cstheme="minorHAnsi"/>
                <w:szCs w:val="24"/>
                <w:lang w:val="en-US"/>
              </w:rPr>
            </w:pPr>
            <w:r w:rsidRPr="005E0152">
              <w:rPr>
                <w:rFonts w:asciiTheme="minorHAnsi" w:hAnsiTheme="minorHAnsi" w:cstheme="minorHAnsi"/>
                <w:szCs w:val="24"/>
                <w:lang w:val="en-US"/>
              </w:rPr>
              <w:t>6,027</w:t>
            </w:r>
          </w:p>
        </w:tc>
        <w:tc>
          <w:tcPr>
            <w:tcW w:w="2911" w:type="dxa"/>
            <w:vAlign w:val="center"/>
          </w:tcPr>
          <w:p w14:paraId="3C93F89E" w14:textId="42250299" w:rsidR="00436C8E" w:rsidRPr="005E0152" w:rsidRDefault="00436C8E" w:rsidP="00436C8E">
            <w:pPr>
              <w:spacing w:line="276" w:lineRule="auto"/>
              <w:ind w:right="593"/>
              <w:jc w:val="both"/>
              <w:rPr>
                <w:rFonts w:asciiTheme="minorHAnsi" w:hAnsiTheme="minorHAnsi" w:cstheme="minorHAnsi"/>
                <w:szCs w:val="24"/>
                <w:lang w:val="en-US"/>
              </w:rPr>
            </w:pPr>
            <w:r w:rsidRPr="005E0152">
              <w:rPr>
                <w:rFonts w:asciiTheme="minorHAnsi" w:hAnsiTheme="minorHAnsi" w:cstheme="minorHAnsi"/>
                <w:szCs w:val="24"/>
                <w:lang w:val="en-US"/>
              </w:rPr>
              <w:t>7.55%</w:t>
            </w:r>
          </w:p>
        </w:tc>
      </w:tr>
      <w:tr w:rsidR="00436C8E" w:rsidRPr="005E0152" w14:paraId="2431CEC8" w14:textId="77777777" w:rsidTr="00436C8E">
        <w:tc>
          <w:tcPr>
            <w:tcW w:w="2810" w:type="dxa"/>
          </w:tcPr>
          <w:p w14:paraId="3B03A950" w14:textId="262C7E08" w:rsidR="00436C8E" w:rsidRPr="005E0152" w:rsidRDefault="001F5D8A" w:rsidP="001F5D8A">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Between</w:t>
            </w:r>
            <w:r w:rsidR="00436C8E" w:rsidRPr="005E0152">
              <w:rPr>
                <w:rFonts w:asciiTheme="minorHAnsi" w:hAnsiTheme="minorHAnsi" w:cstheme="minorHAnsi"/>
                <w:szCs w:val="24"/>
                <w:lang w:val="en-US"/>
              </w:rPr>
              <w:t xml:space="preserve"> 1% - 5%</w:t>
            </w:r>
          </w:p>
        </w:tc>
        <w:tc>
          <w:tcPr>
            <w:tcW w:w="2703" w:type="dxa"/>
            <w:vAlign w:val="center"/>
          </w:tcPr>
          <w:p w14:paraId="16833FA7" w14:textId="00A38152" w:rsidR="00436C8E" w:rsidRPr="005E0152" w:rsidRDefault="00436C8E" w:rsidP="00436C8E">
            <w:pPr>
              <w:spacing w:line="276" w:lineRule="auto"/>
              <w:ind w:right="767"/>
              <w:jc w:val="both"/>
              <w:rPr>
                <w:rFonts w:asciiTheme="minorHAnsi" w:hAnsiTheme="minorHAnsi" w:cstheme="minorHAnsi"/>
                <w:szCs w:val="24"/>
                <w:lang w:val="en-US"/>
              </w:rPr>
            </w:pPr>
            <w:r w:rsidRPr="005E0152">
              <w:rPr>
                <w:rFonts w:asciiTheme="minorHAnsi" w:hAnsiTheme="minorHAnsi" w:cstheme="minorHAnsi"/>
                <w:szCs w:val="24"/>
                <w:lang w:val="en-US"/>
              </w:rPr>
              <w:t>3</w:t>
            </w:r>
          </w:p>
        </w:tc>
        <w:tc>
          <w:tcPr>
            <w:tcW w:w="2911" w:type="dxa"/>
            <w:vAlign w:val="center"/>
          </w:tcPr>
          <w:p w14:paraId="442D9820" w14:textId="326D13CC" w:rsidR="00436C8E" w:rsidRPr="005E0152" w:rsidRDefault="00436C8E" w:rsidP="00436C8E">
            <w:pPr>
              <w:spacing w:line="276" w:lineRule="auto"/>
              <w:ind w:right="593"/>
              <w:jc w:val="both"/>
              <w:rPr>
                <w:rFonts w:asciiTheme="minorHAnsi" w:hAnsiTheme="minorHAnsi" w:cstheme="minorHAnsi"/>
                <w:szCs w:val="24"/>
                <w:lang w:val="en-US"/>
              </w:rPr>
            </w:pPr>
            <w:r w:rsidRPr="005E0152">
              <w:rPr>
                <w:rFonts w:asciiTheme="minorHAnsi" w:hAnsiTheme="minorHAnsi" w:cstheme="minorHAnsi"/>
                <w:szCs w:val="24"/>
                <w:lang w:val="en-US"/>
              </w:rPr>
              <w:t>8.24%</w:t>
            </w:r>
          </w:p>
        </w:tc>
      </w:tr>
      <w:tr w:rsidR="00436C8E" w:rsidRPr="005E0152" w14:paraId="3C601987" w14:textId="77777777" w:rsidTr="00436C8E">
        <w:tc>
          <w:tcPr>
            <w:tcW w:w="2810" w:type="dxa"/>
          </w:tcPr>
          <w:p w14:paraId="25D68941" w14:textId="0F2FE09E" w:rsidR="00436C8E" w:rsidRPr="005E0152" w:rsidRDefault="001F5D8A" w:rsidP="001F5D8A">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Between</w:t>
            </w:r>
            <w:r w:rsidR="00436C8E" w:rsidRPr="005E0152">
              <w:rPr>
                <w:rFonts w:asciiTheme="minorHAnsi" w:hAnsiTheme="minorHAnsi" w:cstheme="minorHAnsi"/>
                <w:szCs w:val="24"/>
                <w:lang w:val="en-US"/>
              </w:rPr>
              <w:t xml:space="preserve"> 5% -10%</w:t>
            </w:r>
          </w:p>
        </w:tc>
        <w:tc>
          <w:tcPr>
            <w:tcW w:w="2703" w:type="dxa"/>
            <w:vAlign w:val="center"/>
          </w:tcPr>
          <w:p w14:paraId="325C37BD" w14:textId="77777777" w:rsidR="00436C8E" w:rsidRPr="005E0152" w:rsidRDefault="00436C8E" w:rsidP="00436C8E">
            <w:pPr>
              <w:spacing w:line="276" w:lineRule="auto"/>
              <w:ind w:right="767"/>
              <w:jc w:val="both"/>
              <w:rPr>
                <w:rFonts w:asciiTheme="minorHAnsi" w:hAnsiTheme="minorHAnsi" w:cstheme="minorHAnsi"/>
                <w:szCs w:val="24"/>
                <w:lang w:val="en-US"/>
              </w:rPr>
            </w:pPr>
            <w:r w:rsidRPr="005E0152">
              <w:rPr>
                <w:rFonts w:asciiTheme="minorHAnsi" w:hAnsiTheme="minorHAnsi" w:cstheme="minorHAnsi"/>
                <w:szCs w:val="24"/>
                <w:lang w:val="en-US"/>
              </w:rPr>
              <w:t>0</w:t>
            </w:r>
          </w:p>
        </w:tc>
        <w:tc>
          <w:tcPr>
            <w:tcW w:w="2911" w:type="dxa"/>
            <w:vAlign w:val="center"/>
          </w:tcPr>
          <w:p w14:paraId="16D31F2F" w14:textId="38A09926" w:rsidR="00436C8E" w:rsidRPr="005E0152" w:rsidRDefault="00436C8E" w:rsidP="00436C8E">
            <w:pPr>
              <w:spacing w:line="276" w:lineRule="auto"/>
              <w:ind w:right="593"/>
              <w:jc w:val="both"/>
              <w:rPr>
                <w:rFonts w:asciiTheme="minorHAnsi" w:hAnsiTheme="minorHAnsi" w:cstheme="minorHAnsi"/>
                <w:szCs w:val="24"/>
                <w:lang w:val="en-US"/>
              </w:rPr>
            </w:pPr>
            <w:r w:rsidRPr="005E0152">
              <w:rPr>
                <w:rFonts w:asciiTheme="minorHAnsi" w:hAnsiTheme="minorHAnsi" w:cstheme="minorHAnsi"/>
                <w:szCs w:val="24"/>
                <w:lang w:val="en-US"/>
              </w:rPr>
              <w:t>0.00%</w:t>
            </w:r>
          </w:p>
        </w:tc>
      </w:tr>
      <w:tr w:rsidR="00436C8E" w:rsidRPr="005E0152" w14:paraId="048283E5" w14:textId="77777777" w:rsidTr="00436C8E">
        <w:tc>
          <w:tcPr>
            <w:tcW w:w="2810" w:type="dxa"/>
          </w:tcPr>
          <w:p w14:paraId="4DC02682" w14:textId="1F445DB0" w:rsidR="00436C8E" w:rsidRPr="005E0152" w:rsidRDefault="00436C8E" w:rsidP="001F5D8A">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M</w:t>
            </w:r>
            <w:r w:rsidR="001F5D8A" w:rsidRPr="005E0152">
              <w:rPr>
                <w:rFonts w:asciiTheme="minorHAnsi" w:hAnsiTheme="minorHAnsi" w:cstheme="minorHAnsi"/>
                <w:szCs w:val="24"/>
                <w:lang w:val="en-US"/>
              </w:rPr>
              <w:t>ore than</w:t>
            </w:r>
            <w:r w:rsidRPr="005E0152">
              <w:rPr>
                <w:rFonts w:asciiTheme="minorHAnsi" w:hAnsiTheme="minorHAnsi" w:cstheme="minorHAnsi"/>
                <w:szCs w:val="24"/>
                <w:lang w:val="en-US"/>
              </w:rPr>
              <w:t xml:space="preserve"> 10%</w:t>
            </w:r>
          </w:p>
        </w:tc>
        <w:tc>
          <w:tcPr>
            <w:tcW w:w="2703" w:type="dxa"/>
            <w:vAlign w:val="center"/>
          </w:tcPr>
          <w:p w14:paraId="5F923A97" w14:textId="7B13067E" w:rsidR="00436C8E" w:rsidRPr="005E0152" w:rsidRDefault="00436C8E" w:rsidP="00436C8E">
            <w:pPr>
              <w:spacing w:line="276" w:lineRule="auto"/>
              <w:ind w:right="767"/>
              <w:jc w:val="both"/>
              <w:rPr>
                <w:rFonts w:asciiTheme="minorHAnsi" w:hAnsiTheme="minorHAnsi" w:cstheme="minorHAnsi"/>
                <w:szCs w:val="24"/>
                <w:lang w:val="en-US"/>
              </w:rPr>
            </w:pPr>
            <w:r w:rsidRPr="005E0152">
              <w:rPr>
                <w:rFonts w:asciiTheme="minorHAnsi" w:hAnsiTheme="minorHAnsi" w:cstheme="minorHAnsi"/>
                <w:szCs w:val="24"/>
                <w:lang w:val="en-US"/>
              </w:rPr>
              <w:t>1</w:t>
            </w:r>
          </w:p>
        </w:tc>
        <w:tc>
          <w:tcPr>
            <w:tcW w:w="2911" w:type="dxa"/>
            <w:vAlign w:val="center"/>
          </w:tcPr>
          <w:p w14:paraId="07DEAC3E" w14:textId="5BD9B66B" w:rsidR="00436C8E" w:rsidRPr="005E0152" w:rsidRDefault="00436C8E" w:rsidP="00436C8E">
            <w:pPr>
              <w:spacing w:line="276" w:lineRule="auto"/>
              <w:ind w:right="593"/>
              <w:jc w:val="both"/>
              <w:rPr>
                <w:rFonts w:asciiTheme="minorHAnsi" w:hAnsiTheme="minorHAnsi" w:cstheme="minorHAnsi"/>
                <w:szCs w:val="24"/>
                <w:lang w:val="en-US"/>
              </w:rPr>
            </w:pPr>
            <w:r w:rsidRPr="005E0152">
              <w:rPr>
                <w:rFonts w:asciiTheme="minorHAnsi" w:hAnsiTheme="minorHAnsi" w:cstheme="minorHAnsi"/>
                <w:szCs w:val="24"/>
                <w:lang w:val="en-US"/>
              </w:rPr>
              <w:t>84.21%</w:t>
            </w:r>
          </w:p>
        </w:tc>
      </w:tr>
      <w:tr w:rsidR="008956E9" w:rsidRPr="005E0152" w14:paraId="78DEF567" w14:textId="77777777" w:rsidTr="00436C8E">
        <w:tc>
          <w:tcPr>
            <w:tcW w:w="2810" w:type="dxa"/>
          </w:tcPr>
          <w:p w14:paraId="1E0A929A" w14:textId="77777777" w:rsidR="009D238A" w:rsidRPr="005E0152" w:rsidRDefault="008956E9" w:rsidP="00006B26">
            <w:pPr>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Total</w:t>
            </w:r>
          </w:p>
        </w:tc>
        <w:tc>
          <w:tcPr>
            <w:tcW w:w="2703" w:type="dxa"/>
            <w:vAlign w:val="center"/>
          </w:tcPr>
          <w:p w14:paraId="16A6F072" w14:textId="0F06FAB2" w:rsidR="009D238A" w:rsidRPr="005E0152" w:rsidRDefault="00946EDA" w:rsidP="00946EDA">
            <w:pPr>
              <w:spacing w:line="276" w:lineRule="auto"/>
              <w:ind w:right="767"/>
              <w:jc w:val="both"/>
              <w:rPr>
                <w:rFonts w:asciiTheme="minorHAnsi" w:hAnsiTheme="minorHAnsi" w:cstheme="minorHAnsi"/>
                <w:b/>
                <w:szCs w:val="24"/>
                <w:lang w:val="en-US"/>
              </w:rPr>
            </w:pPr>
            <w:r w:rsidRPr="005E0152">
              <w:rPr>
                <w:rFonts w:asciiTheme="minorHAnsi" w:hAnsiTheme="minorHAnsi" w:cstheme="minorHAnsi"/>
                <w:b/>
                <w:szCs w:val="24"/>
                <w:lang w:val="en-US"/>
              </w:rPr>
              <w:t>6,031</w:t>
            </w:r>
          </w:p>
        </w:tc>
        <w:tc>
          <w:tcPr>
            <w:tcW w:w="2911" w:type="dxa"/>
            <w:vAlign w:val="center"/>
          </w:tcPr>
          <w:p w14:paraId="1D62F85E" w14:textId="77777777" w:rsidR="009D238A" w:rsidRPr="005E0152" w:rsidRDefault="006964ED" w:rsidP="00006B26">
            <w:pPr>
              <w:spacing w:line="276" w:lineRule="auto"/>
              <w:ind w:right="593"/>
              <w:jc w:val="both"/>
              <w:rPr>
                <w:rFonts w:asciiTheme="minorHAnsi" w:hAnsiTheme="minorHAnsi" w:cstheme="minorHAnsi"/>
                <w:b/>
                <w:szCs w:val="24"/>
                <w:lang w:val="en-US"/>
              </w:rPr>
            </w:pPr>
            <w:r w:rsidRPr="005E0152">
              <w:rPr>
                <w:rFonts w:asciiTheme="minorHAnsi" w:hAnsiTheme="minorHAnsi" w:cstheme="minorHAnsi"/>
                <w:b/>
                <w:szCs w:val="24"/>
                <w:lang w:val="en-US"/>
              </w:rPr>
              <w:t>100.00%</w:t>
            </w:r>
          </w:p>
        </w:tc>
      </w:tr>
    </w:tbl>
    <w:p w14:paraId="30651900" w14:textId="77777777" w:rsidR="00F27436" w:rsidRPr="005E0152" w:rsidRDefault="00F27436" w:rsidP="00006B26">
      <w:pPr>
        <w:spacing w:line="276" w:lineRule="auto"/>
        <w:jc w:val="both"/>
        <w:rPr>
          <w:rFonts w:asciiTheme="minorHAnsi" w:hAnsiTheme="minorHAnsi" w:cstheme="minorHAnsi"/>
          <w:szCs w:val="24"/>
          <w:lang w:val="en-US"/>
        </w:rPr>
      </w:pPr>
    </w:p>
    <w:p w14:paraId="317CCFAC" w14:textId="2189039C" w:rsidR="009D238A" w:rsidRPr="005E0152" w:rsidRDefault="00AE4466" w:rsidP="00006B26">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 xml:space="preserve">Investment Shares </w:t>
      </w:r>
      <w:r w:rsidRPr="005E0152">
        <w:rPr>
          <w:rFonts w:asciiTheme="minorHAnsi" w:hAnsiTheme="minorHAnsi" w:cstheme="minorHAnsi"/>
          <w:szCs w:val="24"/>
          <w:lang w:val="en-US"/>
        </w:rPr>
        <w:t>(pending registration):</w:t>
      </w:r>
    </w:p>
    <w:p w14:paraId="1C37B594" w14:textId="77777777" w:rsidR="009D238A" w:rsidRPr="005E0152" w:rsidRDefault="009D238A" w:rsidP="00006B26">
      <w:pPr>
        <w:spacing w:line="276" w:lineRule="auto"/>
        <w:jc w:val="both"/>
        <w:rPr>
          <w:rFonts w:asciiTheme="minorHAnsi" w:hAnsiTheme="minorHAnsi" w:cstheme="minorHAnsi"/>
          <w:szCs w:val="24"/>
          <w:lang w:val="en-US"/>
        </w:rPr>
      </w:pPr>
    </w:p>
    <w:p w14:paraId="203DBC2B" w14:textId="10C90D8D" w:rsidR="009D238A" w:rsidRPr="005E0152" w:rsidRDefault="00AE4466" w:rsidP="00006B26">
      <w:pPr>
        <w:pStyle w:val="Textopredeterminado"/>
        <w:numPr>
          <w:ilvl w:val="0"/>
          <w:numId w:val="3"/>
        </w:num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Share Number and Nominal Value</w:t>
      </w:r>
      <w:r w:rsidRPr="005E0152">
        <w:rPr>
          <w:rFonts w:asciiTheme="minorHAnsi" w:hAnsiTheme="minorHAnsi" w:cstheme="minorHAnsi"/>
          <w:szCs w:val="24"/>
          <w:lang w:val="en-US"/>
        </w:rPr>
        <w:t>:</w:t>
      </w:r>
      <w:r w:rsidR="006964ED" w:rsidRPr="005E0152">
        <w:rPr>
          <w:rFonts w:asciiTheme="minorHAnsi" w:hAnsiTheme="minorHAnsi" w:cstheme="minorHAnsi"/>
          <w:szCs w:val="24"/>
          <w:lang w:val="en-US"/>
        </w:rPr>
        <w:t xml:space="preserve"> </w:t>
      </w:r>
      <w:r w:rsidR="0079420C" w:rsidRPr="005E0152">
        <w:rPr>
          <w:rFonts w:asciiTheme="minorHAnsi" w:hAnsiTheme="minorHAnsi" w:cstheme="minorHAnsi"/>
          <w:szCs w:val="24"/>
          <w:lang w:val="en-US"/>
        </w:rPr>
        <w:t>2,564,017</w:t>
      </w:r>
      <w:r w:rsidRPr="005E0152">
        <w:rPr>
          <w:rFonts w:asciiTheme="minorHAnsi" w:hAnsiTheme="minorHAnsi" w:cstheme="minorHAnsi"/>
          <w:szCs w:val="24"/>
          <w:lang w:val="en-US"/>
        </w:rPr>
        <w:t xml:space="preserve"> shares at S/ 1.00 per share.</w:t>
      </w:r>
    </w:p>
    <w:p w14:paraId="7B688972" w14:textId="77777777" w:rsidR="009D238A" w:rsidRPr="005E0152" w:rsidRDefault="009D238A" w:rsidP="00006B26">
      <w:pPr>
        <w:spacing w:line="276" w:lineRule="auto"/>
        <w:jc w:val="both"/>
        <w:rPr>
          <w:rFonts w:asciiTheme="minorHAnsi" w:hAnsiTheme="minorHAnsi" w:cstheme="minorHAnsi"/>
          <w:b/>
          <w:szCs w:val="24"/>
          <w:lang w:val="en-US"/>
        </w:rPr>
      </w:pPr>
    </w:p>
    <w:tbl>
      <w:tblPr>
        <w:tblW w:w="84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8"/>
        <w:gridCol w:w="2950"/>
        <w:gridCol w:w="2776"/>
      </w:tblGrid>
      <w:tr w:rsidR="003856D5" w:rsidRPr="005E0152" w14:paraId="1D43B12D" w14:textId="77777777" w:rsidTr="00ED15D6">
        <w:trPr>
          <w:trHeight w:val="840"/>
        </w:trPr>
        <w:tc>
          <w:tcPr>
            <w:tcW w:w="2718" w:type="dxa"/>
            <w:shd w:val="clear" w:color="auto" w:fill="A6A6A6" w:themeFill="background1" w:themeFillShade="A6"/>
            <w:vAlign w:val="center"/>
          </w:tcPr>
          <w:p w14:paraId="3738B3D3" w14:textId="7FDCC548" w:rsidR="003856D5" w:rsidRPr="005E0152" w:rsidRDefault="003856D5" w:rsidP="003856D5">
            <w:pPr>
              <w:spacing w:line="276" w:lineRule="auto"/>
              <w:jc w:val="center"/>
              <w:rPr>
                <w:rFonts w:asciiTheme="minorHAnsi" w:hAnsiTheme="minorHAnsi" w:cstheme="minorHAnsi"/>
                <w:b/>
                <w:szCs w:val="24"/>
                <w:lang w:val="en-US"/>
              </w:rPr>
            </w:pPr>
            <w:r w:rsidRPr="005E0152">
              <w:rPr>
                <w:rFonts w:asciiTheme="minorHAnsi" w:hAnsiTheme="minorHAnsi" w:cstheme="minorHAnsi"/>
                <w:b/>
                <w:szCs w:val="24"/>
                <w:lang w:val="en-US"/>
              </w:rPr>
              <w:t>Holding</w:t>
            </w:r>
          </w:p>
        </w:tc>
        <w:tc>
          <w:tcPr>
            <w:tcW w:w="2950" w:type="dxa"/>
            <w:shd w:val="clear" w:color="auto" w:fill="A6A6A6" w:themeFill="background1" w:themeFillShade="A6"/>
            <w:vAlign w:val="center"/>
          </w:tcPr>
          <w:p w14:paraId="5935D145" w14:textId="538963AD" w:rsidR="003856D5" w:rsidRPr="005E0152" w:rsidRDefault="003856D5" w:rsidP="003856D5">
            <w:pPr>
              <w:spacing w:line="276" w:lineRule="auto"/>
              <w:jc w:val="center"/>
              <w:rPr>
                <w:rFonts w:asciiTheme="minorHAnsi" w:hAnsiTheme="minorHAnsi" w:cstheme="minorHAnsi"/>
                <w:b/>
                <w:szCs w:val="24"/>
                <w:lang w:val="en-US"/>
              </w:rPr>
            </w:pPr>
            <w:r w:rsidRPr="005E0152">
              <w:rPr>
                <w:rFonts w:asciiTheme="minorHAnsi" w:hAnsiTheme="minorHAnsi" w:cstheme="minorHAnsi"/>
                <w:b/>
                <w:szCs w:val="24"/>
                <w:lang w:val="en-US"/>
              </w:rPr>
              <w:t>Number of Shareholders</w:t>
            </w:r>
          </w:p>
        </w:tc>
        <w:tc>
          <w:tcPr>
            <w:tcW w:w="2776" w:type="dxa"/>
            <w:shd w:val="clear" w:color="auto" w:fill="A6A6A6" w:themeFill="background1" w:themeFillShade="A6"/>
            <w:vAlign w:val="center"/>
          </w:tcPr>
          <w:p w14:paraId="00AA386F" w14:textId="58C1BBE3" w:rsidR="003856D5" w:rsidRPr="005E0152" w:rsidRDefault="003856D5" w:rsidP="003856D5">
            <w:pPr>
              <w:spacing w:line="276" w:lineRule="auto"/>
              <w:jc w:val="center"/>
              <w:rPr>
                <w:rFonts w:asciiTheme="minorHAnsi" w:hAnsiTheme="minorHAnsi" w:cstheme="minorHAnsi"/>
                <w:b/>
                <w:szCs w:val="24"/>
                <w:lang w:val="en-US"/>
              </w:rPr>
            </w:pPr>
            <w:r w:rsidRPr="005E0152">
              <w:rPr>
                <w:rFonts w:asciiTheme="minorHAnsi" w:hAnsiTheme="minorHAnsi" w:cstheme="minorHAnsi"/>
                <w:b/>
                <w:szCs w:val="24"/>
                <w:lang w:val="en-US"/>
              </w:rPr>
              <w:t>Percentage of participation</w:t>
            </w:r>
          </w:p>
        </w:tc>
      </w:tr>
      <w:tr w:rsidR="003856D5" w:rsidRPr="005E0152" w14:paraId="611F97F2" w14:textId="77777777" w:rsidTr="00ED15D6">
        <w:trPr>
          <w:trHeight w:val="312"/>
        </w:trPr>
        <w:tc>
          <w:tcPr>
            <w:tcW w:w="2718" w:type="dxa"/>
            <w:vAlign w:val="center"/>
          </w:tcPr>
          <w:p w14:paraId="48F0BD53" w14:textId="38B70363" w:rsidR="003856D5" w:rsidRPr="005E0152" w:rsidRDefault="003856D5" w:rsidP="003856D5">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Less than 1%</w:t>
            </w:r>
          </w:p>
        </w:tc>
        <w:tc>
          <w:tcPr>
            <w:tcW w:w="2950" w:type="dxa"/>
            <w:vAlign w:val="center"/>
          </w:tcPr>
          <w:p w14:paraId="569C0469" w14:textId="77777777" w:rsidR="003856D5" w:rsidRPr="005E0152" w:rsidRDefault="003856D5" w:rsidP="003856D5">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337</w:t>
            </w:r>
          </w:p>
        </w:tc>
        <w:tc>
          <w:tcPr>
            <w:tcW w:w="2776" w:type="dxa"/>
            <w:vAlign w:val="center"/>
          </w:tcPr>
          <w:p w14:paraId="3A621DD7" w14:textId="77777777" w:rsidR="003856D5" w:rsidRPr="005E0152" w:rsidRDefault="003856D5" w:rsidP="003856D5">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3.22%</w:t>
            </w:r>
          </w:p>
        </w:tc>
      </w:tr>
      <w:tr w:rsidR="003856D5" w:rsidRPr="005E0152" w14:paraId="20978583" w14:textId="77777777" w:rsidTr="00ED15D6">
        <w:trPr>
          <w:trHeight w:val="312"/>
        </w:trPr>
        <w:tc>
          <w:tcPr>
            <w:tcW w:w="2718" w:type="dxa"/>
            <w:vAlign w:val="center"/>
          </w:tcPr>
          <w:p w14:paraId="14150CC3" w14:textId="2C6F6257" w:rsidR="003856D5" w:rsidRPr="005E0152" w:rsidRDefault="003856D5" w:rsidP="003856D5">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Between 1% - 5%</w:t>
            </w:r>
          </w:p>
        </w:tc>
        <w:tc>
          <w:tcPr>
            <w:tcW w:w="2950" w:type="dxa"/>
            <w:vAlign w:val="center"/>
          </w:tcPr>
          <w:p w14:paraId="06975342" w14:textId="77777777" w:rsidR="003856D5" w:rsidRPr="005E0152" w:rsidRDefault="003856D5" w:rsidP="003856D5">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0</w:t>
            </w:r>
          </w:p>
        </w:tc>
        <w:tc>
          <w:tcPr>
            <w:tcW w:w="2776" w:type="dxa"/>
            <w:vAlign w:val="center"/>
          </w:tcPr>
          <w:p w14:paraId="7661CA37" w14:textId="77777777" w:rsidR="003856D5" w:rsidRPr="005E0152" w:rsidRDefault="003856D5" w:rsidP="003856D5">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0.00%</w:t>
            </w:r>
          </w:p>
        </w:tc>
      </w:tr>
      <w:tr w:rsidR="003856D5" w:rsidRPr="005E0152" w14:paraId="0E978EBB" w14:textId="77777777" w:rsidTr="00ED15D6">
        <w:trPr>
          <w:trHeight w:val="293"/>
        </w:trPr>
        <w:tc>
          <w:tcPr>
            <w:tcW w:w="2718" w:type="dxa"/>
            <w:vAlign w:val="center"/>
          </w:tcPr>
          <w:p w14:paraId="6FE9AADC" w14:textId="59D456FF" w:rsidR="003856D5" w:rsidRPr="005E0152" w:rsidRDefault="003856D5" w:rsidP="003856D5">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Between 5% -10%</w:t>
            </w:r>
          </w:p>
        </w:tc>
        <w:tc>
          <w:tcPr>
            <w:tcW w:w="2950" w:type="dxa"/>
            <w:vAlign w:val="center"/>
          </w:tcPr>
          <w:p w14:paraId="724CA391" w14:textId="77777777" w:rsidR="003856D5" w:rsidRPr="005E0152" w:rsidRDefault="003856D5" w:rsidP="003856D5">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0</w:t>
            </w:r>
          </w:p>
        </w:tc>
        <w:tc>
          <w:tcPr>
            <w:tcW w:w="2776" w:type="dxa"/>
            <w:vAlign w:val="center"/>
          </w:tcPr>
          <w:p w14:paraId="012BF661" w14:textId="77777777" w:rsidR="003856D5" w:rsidRPr="005E0152" w:rsidRDefault="003856D5" w:rsidP="003856D5">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0.00%</w:t>
            </w:r>
          </w:p>
        </w:tc>
      </w:tr>
      <w:tr w:rsidR="003856D5" w:rsidRPr="005E0152" w14:paraId="5E6C9236" w14:textId="77777777" w:rsidTr="00ED15D6">
        <w:trPr>
          <w:trHeight w:val="312"/>
        </w:trPr>
        <w:tc>
          <w:tcPr>
            <w:tcW w:w="2718" w:type="dxa"/>
            <w:vAlign w:val="center"/>
          </w:tcPr>
          <w:p w14:paraId="674B44D8" w14:textId="7037FB71" w:rsidR="003856D5" w:rsidRPr="005E0152" w:rsidRDefault="003856D5" w:rsidP="003856D5">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More than 10%</w:t>
            </w:r>
          </w:p>
        </w:tc>
        <w:tc>
          <w:tcPr>
            <w:tcW w:w="2950" w:type="dxa"/>
            <w:vAlign w:val="center"/>
          </w:tcPr>
          <w:p w14:paraId="4D9CFE8D" w14:textId="77777777" w:rsidR="003856D5" w:rsidRPr="005E0152" w:rsidRDefault="003856D5" w:rsidP="003856D5">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1</w:t>
            </w:r>
          </w:p>
        </w:tc>
        <w:tc>
          <w:tcPr>
            <w:tcW w:w="2776" w:type="dxa"/>
            <w:vAlign w:val="center"/>
          </w:tcPr>
          <w:p w14:paraId="1ADE54EC" w14:textId="77777777" w:rsidR="003856D5" w:rsidRPr="005E0152" w:rsidRDefault="003856D5" w:rsidP="003856D5">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96.78%</w:t>
            </w:r>
          </w:p>
        </w:tc>
      </w:tr>
      <w:tr w:rsidR="003856D5" w:rsidRPr="005E0152" w14:paraId="2FA13306" w14:textId="77777777" w:rsidTr="00ED15D6">
        <w:trPr>
          <w:trHeight w:val="293"/>
        </w:trPr>
        <w:tc>
          <w:tcPr>
            <w:tcW w:w="2718" w:type="dxa"/>
            <w:vAlign w:val="center"/>
          </w:tcPr>
          <w:p w14:paraId="06320F77" w14:textId="77777777" w:rsidR="003856D5" w:rsidRPr="005E0152" w:rsidRDefault="003856D5" w:rsidP="003856D5">
            <w:pPr>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Total</w:t>
            </w:r>
          </w:p>
        </w:tc>
        <w:tc>
          <w:tcPr>
            <w:tcW w:w="2950" w:type="dxa"/>
            <w:vAlign w:val="center"/>
          </w:tcPr>
          <w:p w14:paraId="498806A5" w14:textId="77777777" w:rsidR="003856D5" w:rsidRPr="005E0152" w:rsidRDefault="003856D5" w:rsidP="003856D5">
            <w:pPr>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338</w:t>
            </w:r>
          </w:p>
        </w:tc>
        <w:tc>
          <w:tcPr>
            <w:tcW w:w="2776" w:type="dxa"/>
            <w:vAlign w:val="center"/>
          </w:tcPr>
          <w:p w14:paraId="0273CD8C" w14:textId="77777777" w:rsidR="003856D5" w:rsidRPr="005E0152" w:rsidRDefault="003856D5" w:rsidP="003856D5">
            <w:pPr>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100.00%</w:t>
            </w:r>
          </w:p>
        </w:tc>
      </w:tr>
    </w:tbl>
    <w:p w14:paraId="2EE7305E" w14:textId="77777777" w:rsidR="009D238A" w:rsidRPr="005E0152" w:rsidRDefault="009D238A"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sz w:val="24"/>
          <w:szCs w:val="24"/>
        </w:rPr>
      </w:pPr>
    </w:p>
    <w:p w14:paraId="76376155" w14:textId="6C091BED" w:rsidR="009D238A" w:rsidRPr="005E0152" w:rsidRDefault="006964ED"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b/>
          <w:sz w:val="24"/>
          <w:szCs w:val="24"/>
        </w:rPr>
      </w:pPr>
      <w:r w:rsidRPr="005E0152">
        <w:rPr>
          <w:rFonts w:asciiTheme="minorHAnsi" w:hAnsiTheme="minorHAnsi" w:cstheme="minorHAnsi"/>
          <w:b/>
          <w:sz w:val="24"/>
          <w:szCs w:val="24"/>
        </w:rPr>
        <w:t>B</w:t>
      </w:r>
      <w:r w:rsidR="0092063F" w:rsidRPr="005E0152">
        <w:rPr>
          <w:rFonts w:asciiTheme="minorHAnsi" w:hAnsiTheme="minorHAnsi" w:cstheme="minorHAnsi"/>
          <w:b/>
          <w:sz w:val="24"/>
          <w:szCs w:val="24"/>
        </w:rPr>
        <w:t>.</w:t>
      </w:r>
      <w:r w:rsidRPr="005E0152">
        <w:rPr>
          <w:rFonts w:asciiTheme="minorHAnsi" w:hAnsiTheme="minorHAnsi" w:cstheme="minorHAnsi"/>
          <w:b/>
          <w:sz w:val="24"/>
          <w:szCs w:val="24"/>
        </w:rPr>
        <w:t xml:space="preserve"> </w:t>
      </w:r>
      <w:r w:rsidR="003856D5" w:rsidRPr="005E0152">
        <w:rPr>
          <w:rFonts w:asciiTheme="minorHAnsi" w:hAnsiTheme="minorHAnsi" w:cstheme="minorHAnsi"/>
          <w:b/>
          <w:sz w:val="24"/>
          <w:szCs w:val="24"/>
        </w:rPr>
        <w:t>Operations and Development Description</w:t>
      </w:r>
    </w:p>
    <w:p w14:paraId="459DFC41" w14:textId="77777777" w:rsidR="009D238A" w:rsidRPr="005E0152" w:rsidRDefault="009D238A" w:rsidP="00006B26">
      <w:pPr>
        <w:pStyle w:val="Textopredeterminado"/>
        <w:spacing w:line="276" w:lineRule="auto"/>
        <w:jc w:val="both"/>
        <w:rPr>
          <w:rFonts w:asciiTheme="minorHAnsi" w:hAnsiTheme="minorHAnsi" w:cstheme="minorHAnsi"/>
          <w:b/>
          <w:spacing w:val="20"/>
          <w:sz w:val="26"/>
          <w:szCs w:val="26"/>
          <w:lang w:val="en-US"/>
        </w:rPr>
      </w:pPr>
    </w:p>
    <w:p w14:paraId="019E183D" w14:textId="77777777" w:rsidR="005722A4" w:rsidRPr="005E0152" w:rsidRDefault="005722A4" w:rsidP="005722A4">
      <w:pPr>
        <w:pStyle w:val="Textopredeterminado"/>
        <w:numPr>
          <w:ilvl w:val="0"/>
          <w:numId w:val="3"/>
        </w:num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Company purpose: Investment in securities, security titles or shares of other corporations, formation/promotion and development of manufacturing enterprises and other investments.</w:t>
      </w:r>
    </w:p>
    <w:p w14:paraId="29149E06" w14:textId="77777777" w:rsidR="005722A4" w:rsidRPr="005E0152" w:rsidRDefault="005722A4" w:rsidP="005722A4">
      <w:pPr>
        <w:pStyle w:val="Textopredeterminado"/>
        <w:numPr>
          <w:ilvl w:val="0"/>
          <w:numId w:val="3"/>
        </w:num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ISIC: 6420</w:t>
      </w:r>
    </w:p>
    <w:p w14:paraId="16FF190F" w14:textId="77777777" w:rsidR="005722A4" w:rsidRPr="005E0152" w:rsidRDefault="005722A4" w:rsidP="005722A4">
      <w:pPr>
        <w:pStyle w:val="Textopredeterminado"/>
        <w:numPr>
          <w:ilvl w:val="0"/>
          <w:numId w:val="3"/>
        </w:numPr>
        <w:spacing w:line="276" w:lineRule="auto"/>
        <w:ind w:left="426" w:hanging="426"/>
        <w:jc w:val="both"/>
        <w:rPr>
          <w:rFonts w:asciiTheme="minorHAnsi" w:hAnsiTheme="minorHAnsi" w:cstheme="minorHAnsi"/>
          <w:szCs w:val="24"/>
          <w:lang w:val="en-US"/>
        </w:rPr>
      </w:pPr>
      <w:r w:rsidRPr="005E0152">
        <w:rPr>
          <w:rFonts w:asciiTheme="minorHAnsi" w:hAnsiTheme="minorHAnsi" w:cstheme="minorHAnsi"/>
          <w:szCs w:val="24"/>
          <w:lang w:val="en-US"/>
        </w:rPr>
        <w:t>Term: Indefinite</w:t>
      </w:r>
    </w:p>
    <w:p w14:paraId="0B44528C" w14:textId="77777777" w:rsidR="009D238A" w:rsidRPr="005E0152" w:rsidRDefault="009D238A" w:rsidP="00006B26">
      <w:pPr>
        <w:spacing w:line="276" w:lineRule="auto"/>
        <w:jc w:val="both"/>
        <w:rPr>
          <w:rFonts w:asciiTheme="minorHAnsi" w:hAnsiTheme="minorHAnsi" w:cstheme="minorHAnsi"/>
          <w:szCs w:val="24"/>
          <w:lang w:val="en-US"/>
        </w:rPr>
      </w:pPr>
    </w:p>
    <w:p w14:paraId="571F7ABB" w14:textId="0CE31730" w:rsidR="009D238A" w:rsidRPr="005E0152" w:rsidRDefault="00290426" w:rsidP="00006B2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asciiTheme="minorHAnsi" w:hAnsiTheme="minorHAnsi" w:cstheme="minorHAnsi"/>
          <w:b/>
          <w:sz w:val="24"/>
          <w:szCs w:val="24"/>
        </w:rPr>
      </w:pPr>
      <w:r w:rsidRPr="005E0152">
        <w:rPr>
          <w:rFonts w:asciiTheme="minorHAnsi" w:hAnsiTheme="minorHAnsi" w:cstheme="minorHAnsi"/>
          <w:b/>
          <w:sz w:val="24"/>
          <w:szCs w:val="24"/>
        </w:rPr>
        <w:t>History:</w:t>
      </w:r>
    </w:p>
    <w:p w14:paraId="6DB448C6" w14:textId="77777777" w:rsidR="009D238A" w:rsidRPr="005E0152" w:rsidRDefault="009D238A" w:rsidP="00006B26">
      <w:pPr>
        <w:pStyle w:val="Textopredeterminado"/>
        <w:spacing w:line="276" w:lineRule="auto"/>
        <w:jc w:val="both"/>
        <w:rPr>
          <w:rFonts w:asciiTheme="minorHAnsi" w:hAnsiTheme="minorHAnsi" w:cstheme="minorHAnsi"/>
          <w:szCs w:val="24"/>
          <w:lang w:val="en-US"/>
        </w:rPr>
      </w:pPr>
    </w:p>
    <w:p w14:paraId="4039CBD8" w14:textId="2BC8CD21" w:rsidR="009D238A" w:rsidRPr="005E0152" w:rsidRDefault="00290426" w:rsidP="00546684">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FOSSAL S.A.A. (hereinafter, the “Company” or ‘’FOSSAL’’) was incorporated in August 8, 2016. In accordance with the Peruvian Corporate Act, it is considered a Stock Corporation, whose common shares are registered in the Stock Market Public Registry of the Superintendencia del Mercado de Valores (SMV) and in the Stock Registry of the Lima Stock Exchange. The Company is a subsidiary of Inversiones Aspi S.A. (hereinafter, “ASPI”), which owns 50.01% of the Company’s common shares as to December 31, 2020.</w:t>
      </w:r>
      <w:r w:rsidR="00CB7E92" w:rsidRPr="005E0152">
        <w:rPr>
          <w:rFonts w:asciiTheme="minorHAnsi" w:hAnsiTheme="minorHAnsi" w:cstheme="minorHAnsi"/>
          <w:szCs w:val="24"/>
          <w:lang w:val="en-US"/>
        </w:rPr>
        <w:t xml:space="preserve"> </w:t>
      </w:r>
      <w:r w:rsidR="00546684" w:rsidRPr="005E0152">
        <w:rPr>
          <w:rFonts w:asciiTheme="minorHAnsi" w:hAnsiTheme="minorHAnsi" w:cstheme="minorHAnsi"/>
          <w:szCs w:val="24"/>
          <w:lang w:val="en-US"/>
        </w:rPr>
        <w:t xml:space="preserve">As part of an application, loss offset, and capital increase process conducted between March and November 2021, the Principal owns 84.21% of the Company's common stock as of December 31, 2021. </w:t>
      </w:r>
      <w:r w:rsidR="00546684" w:rsidRPr="005E0152">
        <w:rPr>
          <w:rFonts w:asciiTheme="minorHAnsi" w:hAnsiTheme="minorHAnsi" w:cstheme="minorHAnsi"/>
          <w:szCs w:val="24"/>
          <w:lang w:val="en-US"/>
        </w:rPr>
        <w:t xml:space="preserve">The Company’s main purpose is the investment in securities, </w:t>
      </w:r>
      <w:r w:rsidR="00546684" w:rsidRPr="005E0152">
        <w:rPr>
          <w:rFonts w:asciiTheme="minorHAnsi" w:hAnsiTheme="minorHAnsi" w:cstheme="minorHAnsi"/>
          <w:szCs w:val="24"/>
          <w:lang w:val="en-US"/>
        </w:rPr>
        <w:lastRenderedPageBreak/>
        <w:t>security titles or shares of other corporations, formation, promotion and development of manufacturing enterprises and other investments.</w:t>
      </w:r>
    </w:p>
    <w:p w14:paraId="517228F4" w14:textId="77777777" w:rsidR="00546684" w:rsidRPr="005E0152" w:rsidRDefault="00546684" w:rsidP="00546684">
      <w:pPr>
        <w:pStyle w:val="Textopredeterminado"/>
        <w:spacing w:line="276" w:lineRule="auto"/>
        <w:jc w:val="both"/>
        <w:rPr>
          <w:rFonts w:asciiTheme="minorHAnsi" w:hAnsiTheme="minorHAnsi" w:cstheme="minorHAnsi"/>
          <w:szCs w:val="24"/>
          <w:lang w:val="en-US"/>
        </w:rPr>
      </w:pPr>
    </w:p>
    <w:p w14:paraId="010D8914" w14:textId="06934B16" w:rsidR="00546684" w:rsidRPr="005E0152" w:rsidRDefault="00546684" w:rsidP="00546684">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In September 2016, the General Shareholders’ Meeting of Cementos Pacasmayo S.A.A. approved the spin-off of a portion of its net assets (composed by the assets and liabilities related to the Company’s interest in Fosfatos del Pacífico S.A.) to Fossal S.A.A. (“FOSSAL”), a newly formed entity created as a subsidiary of Inversiones ASPI S.A. The purpose of the spin-off was to allocate Cementos Pacasmayo’s assets and liabilities in accordance with the specialization of each business, cement and phosphate &amp; diatomite. The spin-off took place in March 2017 and with it FOSSAL became the owner of 70% of the shares of Fosfatos del Pacífic</w:t>
      </w:r>
      <w:bookmarkStart w:id="0" w:name="_GoBack"/>
      <w:bookmarkEnd w:id="0"/>
      <w:r w:rsidRPr="005E0152">
        <w:rPr>
          <w:rFonts w:asciiTheme="minorHAnsi" w:hAnsiTheme="minorHAnsi" w:cstheme="minorHAnsi"/>
          <w:szCs w:val="24"/>
          <w:lang w:val="en-US"/>
        </w:rPr>
        <w:t xml:space="preserve">o S.A., being to date the only company in which it owns shares. </w:t>
      </w:r>
    </w:p>
    <w:p w14:paraId="1E4C13BA" w14:textId="77777777" w:rsidR="00546684" w:rsidRPr="005E0152" w:rsidRDefault="00546684" w:rsidP="00006B26">
      <w:pPr>
        <w:pStyle w:val="Textopredeterminado"/>
        <w:spacing w:line="276" w:lineRule="auto"/>
        <w:jc w:val="both"/>
        <w:rPr>
          <w:rFonts w:asciiTheme="minorHAnsi" w:hAnsiTheme="minorHAnsi" w:cstheme="minorHAnsi"/>
          <w:szCs w:val="24"/>
          <w:lang w:val="en-US"/>
        </w:rPr>
      </w:pPr>
    </w:p>
    <w:p w14:paraId="3D604B85" w14:textId="77777777" w:rsidR="003C769E" w:rsidRPr="005E0152" w:rsidRDefault="003C769E" w:rsidP="00006B26">
      <w:pPr>
        <w:pStyle w:val="Textopredeterminado"/>
        <w:spacing w:line="276" w:lineRule="auto"/>
        <w:jc w:val="both"/>
        <w:rPr>
          <w:rFonts w:asciiTheme="minorHAnsi" w:hAnsiTheme="minorHAnsi" w:cstheme="minorHAnsi"/>
          <w:szCs w:val="24"/>
          <w:lang w:val="en-US"/>
        </w:rPr>
      </w:pPr>
    </w:p>
    <w:p w14:paraId="03F4A051" w14:textId="06D30ED4" w:rsidR="00546684" w:rsidRPr="005E0152" w:rsidRDefault="00546684" w:rsidP="00546684">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On December 30, 2020, the Board of Directors of the Subsidiary Fosfatos del Pacífico S.A. approved the constitution of an accounting provision for the total impairment of the assets related to the Phosphates Project since i) the Environmental Impact Study (EIA) of the Project for the exploitation of phosphate rock expires in September 2021, and its renewal would take a longer time than the remaining period of validity and ii) the current international prices of phosphate rock, of the characteristics of the deposit that the Subsidiary owns, are lower than the estimated sale prices that guarantee the initially expected profitability, so it would not be profitable to carry out said Project in the short or medium term.</w:t>
      </w:r>
    </w:p>
    <w:p w14:paraId="1856E770" w14:textId="77777777" w:rsidR="00C268FA" w:rsidRPr="005E0152" w:rsidRDefault="00C268FA" w:rsidP="00C268FA">
      <w:pPr>
        <w:pStyle w:val="Textopredeterminado"/>
        <w:spacing w:line="276" w:lineRule="auto"/>
        <w:jc w:val="both"/>
        <w:rPr>
          <w:rFonts w:asciiTheme="minorHAnsi" w:hAnsiTheme="minorHAnsi" w:cstheme="minorHAnsi"/>
          <w:szCs w:val="24"/>
          <w:lang w:val="en-US"/>
        </w:rPr>
      </w:pPr>
    </w:p>
    <w:p w14:paraId="24F5CB9F" w14:textId="16AAE9E7" w:rsidR="009A215A" w:rsidRPr="005E0152" w:rsidRDefault="009A215A" w:rsidP="003C769E">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On March 23, 2021, the Company's Annual Mandatory Meeting approved the application of losses corresponding to the fiscal year 2020 of S/222,917,000 and accumulated losses of S/39,158,000; which reduced the capital stock by approximately S/ 99,333,000 (and the number of shares by 99,332,791), the investment shares account by S/ 9,439,000 (and the number of investment shares by 9,439,197), the additional capital item by approximately S/ 116,346,000 and the legal reserve item by about S/ 36,957,000, leaving the last two with a zero balance.</w:t>
      </w:r>
    </w:p>
    <w:p w14:paraId="23AC8646" w14:textId="77777777" w:rsidR="009A215A" w:rsidRPr="005E0152" w:rsidRDefault="009A215A" w:rsidP="003C769E">
      <w:pPr>
        <w:pStyle w:val="Textopredeterminado"/>
        <w:spacing w:line="276" w:lineRule="auto"/>
        <w:jc w:val="both"/>
        <w:rPr>
          <w:rFonts w:asciiTheme="minorHAnsi" w:hAnsiTheme="minorHAnsi" w:cstheme="minorHAnsi"/>
          <w:szCs w:val="24"/>
          <w:lang w:val="en-US"/>
        </w:rPr>
      </w:pPr>
    </w:p>
    <w:p w14:paraId="70B7C272" w14:textId="77777777" w:rsidR="009A215A" w:rsidRPr="005E0152" w:rsidRDefault="009A215A">
      <w:pPr>
        <w:spacing w:after="200" w:line="276" w:lineRule="auto"/>
        <w:rPr>
          <w:rFonts w:asciiTheme="minorHAnsi" w:hAnsiTheme="minorHAnsi" w:cstheme="minorHAnsi"/>
          <w:szCs w:val="24"/>
          <w:lang w:val="en-US"/>
        </w:rPr>
      </w:pPr>
      <w:r w:rsidRPr="005E0152">
        <w:rPr>
          <w:rFonts w:asciiTheme="minorHAnsi" w:hAnsiTheme="minorHAnsi" w:cstheme="minorHAnsi"/>
          <w:szCs w:val="24"/>
          <w:lang w:val="en-US"/>
        </w:rPr>
        <w:br w:type="page"/>
      </w:r>
    </w:p>
    <w:p w14:paraId="0FDA7D3C" w14:textId="320EAD88" w:rsidR="009A215A" w:rsidRPr="005E0152" w:rsidRDefault="009A215A" w:rsidP="00C268FA">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lastRenderedPageBreak/>
        <w:t>On August 31, 2021, the Company acquired 30 percent of the common shares of the Subsidiary Fosfatos del Pacífico S.A. from Mitsubishi Corporation in exchange for approximately US$ 3,477,000, equivalent to S/ 14,247,000, which is devalued as of December 31, 2021. As a result of this transaction, the Company owns 100 percent of the common shares of the Subsidiary as of December 31, 2021.</w:t>
      </w:r>
    </w:p>
    <w:p w14:paraId="78241823" w14:textId="77777777" w:rsidR="009A215A" w:rsidRPr="005E0152" w:rsidRDefault="009A215A" w:rsidP="00C268FA">
      <w:pPr>
        <w:pStyle w:val="Textopredeterminado"/>
        <w:spacing w:line="276" w:lineRule="auto"/>
        <w:jc w:val="both"/>
        <w:rPr>
          <w:rFonts w:asciiTheme="minorHAnsi" w:hAnsiTheme="minorHAnsi" w:cstheme="minorHAnsi"/>
          <w:szCs w:val="24"/>
          <w:lang w:val="en-US"/>
        </w:rPr>
      </w:pPr>
    </w:p>
    <w:p w14:paraId="59A27A9D" w14:textId="00E6C1FC" w:rsidR="00A8154B" w:rsidRPr="005E0152" w:rsidRDefault="00A8154B" w:rsidP="00C268FA">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On September 13, 2021, the General Shareholders' Meeting approved the increase of capital stock, and the investment shares account for up to approximately S/. 18,721,000 and S/ 1,779,000, and to create up to 18,721,016 common shares and 1,778,984 investment shares with a par value of S/ 1 each, to be subscribed and paid by the shareholders pro rata to their equity interest. As of December 31, 2021, these contributions were paid in full.</w:t>
      </w:r>
    </w:p>
    <w:p w14:paraId="2FAC90BA" w14:textId="77777777" w:rsidR="00A8154B" w:rsidRPr="005E0152" w:rsidRDefault="00A8154B" w:rsidP="00C268FA">
      <w:pPr>
        <w:pStyle w:val="Textopredeterminado"/>
        <w:spacing w:line="276" w:lineRule="auto"/>
        <w:jc w:val="both"/>
        <w:rPr>
          <w:rFonts w:asciiTheme="minorHAnsi" w:hAnsiTheme="minorHAnsi" w:cstheme="minorHAnsi"/>
          <w:szCs w:val="24"/>
          <w:lang w:val="en-US"/>
        </w:rPr>
      </w:pPr>
    </w:p>
    <w:p w14:paraId="0326356D" w14:textId="77777777" w:rsidR="00A8154B" w:rsidRPr="005E0152" w:rsidRDefault="00A8154B" w:rsidP="00C268FA">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In November 2021, the Company contributed to the Subsidiary S/ 10.5MM soles for working capital, among other activities.</w:t>
      </w:r>
    </w:p>
    <w:p w14:paraId="5C3A491D" w14:textId="77777777" w:rsidR="00BB700C" w:rsidRPr="005E0152" w:rsidRDefault="00BB700C" w:rsidP="00006B26">
      <w:pPr>
        <w:spacing w:after="200" w:line="276" w:lineRule="auto"/>
        <w:rPr>
          <w:rFonts w:asciiTheme="minorHAnsi" w:hAnsiTheme="minorHAnsi" w:cstheme="minorHAnsi"/>
          <w:b/>
          <w:szCs w:val="24"/>
          <w:lang w:val="en-US"/>
        </w:rPr>
      </w:pPr>
    </w:p>
    <w:p w14:paraId="5A46FEF2" w14:textId="56AC4C2E" w:rsidR="009D238A" w:rsidRPr="005E0152" w:rsidRDefault="00A8154B" w:rsidP="00006B26">
      <w:pPr>
        <w:spacing w:after="200" w:line="276" w:lineRule="auto"/>
        <w:rPr>
          <w:rFonts w:asciiTheme="minorHAnsi" w:hAnsiTheme="minorHAnsi" w:cstheme="minorHAnsi"/>
          <w:b/>
          <w:szCs w:val="24"/>
          <w:lang w:val="en-US"/>
        </w:rPr>
      </w:pPr>
      <w:r w:rsidRPr="005E0152">
        <w:rPr>
          <w:rFonts w:asciiTheme="minorHAnsi" w:hAnsiTheme="minorHAnsi" w:cstheme="minorHAnsi"/>
          <w:b/>
          <w:szCs w:val="24"/>
          <w:lang w:val="en-US"/>
        </w:rPr>
        <w:t>Sector and Market Description</w:t>
      </w:r>
    </w:p>
    <w:p w14:paraId="07776524" w14:textId="77777777" w:rsidR="00F45359" w:rsidRPr="005E0152" w:rsidRDefault="00F45359" w:rsidP="00F45359">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 xml:space="preserve">FOSSAL’s only subsidiary is Fosfatos del Pacífico S.A., whose main object is to engage in all kind of non-metal and metal mining activities, and the industrialization and marketing of fertilizers and chemical products in general for the agricultural sector. </w:t>
      </w:r>
    </w:p>
    <w:p w14:paraId="670142AD" w14:textId="77777777" w:rsidR="00F45359" w:rsidRPr="005E0152" w:rsidRDefault="00F45359" w:rsidP="00006B26">
      <w:pPr>
        <w:pStyle w:val="Textopredeterminado"/>
        <w:spacing w:line="276" w:lineRule="auto"/>
        <w:jc w:val="both"/>
        <w:rPr>
          <w:rFonts w:asciiTheme="minorHAnsi" w:hAnsiTheme="minorHAnsi" w:cstheme="minorHAnsi"/>
          <w:szCs w:val="24"/>
          <w:lang w:val="en-US"/>
        </w:rPr>
      </w:pPr>
    </w:p>
    <w:p w14:paraId="72B8ACFB" w14:textId="77777777" w:rsidR="00F45359" w:rsidRPr="005E0152" w:rsidRDefault="00F45359" w:rsidP="00F45359">
      <w:pPr>
        <w:spacing w:after="160" w:line="276" w:lineRule="auto"/>
        <w:jc w:val="both"/>
        <w:rPr>
          <w:rFonts w:asciiTheme="minorHAnsi" w:hAnsiTheme="minorHAnsi" w:cstheme="minorHAnsi"/>
          <w:color w:val="000000" w:themeColor="text1"/>
          <w:lang w:val="en-US" w:eastAsia="en-US"/>
        </w:rPr>
      </w:pPr>
      <w:r w:rsidRPr="005E0152">
        <w:rPr>
          <w:rFonts w:asciiTheme="minorHAnsi" w:hAnsiTheme="minorHAnsi" w:cstheme="minorHAnsi"/>
          <w:szCs w:val="24"/>
          <w:lang w:val="en-US"/>
        </w:rPr>
        <w:t>With the indefinite adjudication of the Diatomites concession Bayóvar N ° 9 by Proinversión and Activos Mineros S.A. in favor of Cementos Pacasmayo S.A.A. in 2007, and the constitution in 2009 of Fosfatos del Pacífico S.A., the latter will engage in the exploitation and marketing of the diatomite and phosphoric rock resources of the Bayovar N ° 9 concession. The concession is located in the district and province of Sechura, department of Piura, approximately 1,000 km. north of the capital, Lima, 110 km south of Piura and 30 km from the Pacific Ocean</w:t>
      </w:r>
      <w:r w:rsidRPr="005E0152">
        <w:rPr>
          <w:rFonts w:asciiTheme="minorHAnsi" w:hAnsiTheme="minorHAnsi" w:cstheme="minorHAnsi"/>
          <w:color w:val="000000" w:themeColor="text1"/>
          <w:lang w:val="en-US" w:eastAsia="en-US"/>
        </w:rPr>
        <w:t xml:space="preserve">. </w:t>
      </w:r>
    </w:p>
    <w:p w14:paraId="09EAA90B" w14:textId="77777777" w:rsidR="00F45359" w:rsidRPr="005E0152" w:rsidRDefault="00F45359" w:rsidP="00F45359">
      <w:pPr>
        <w:spacing w:after="160" w:line="276" w:lineRule="auto"/>
        <w:jc w:val="both"/>
        <w:rPr>
          <w:rFonts w:asciiTheme="minorHAnsi" w:hAnsiTheme="minorHAnsi" w:cstheme="minorHAnsi"/>
          <w:color w:val="000000" w:themeColor="text1"/>
          <w:lang w:val="en-US" w:eastAsia="en-US"/>
        </w:rPr>
      </w:pPr>
      <w:r w:rsidRPr="005E0152">
        <w:rPr>
          <w:rFonts w:asciiTheme="minorHAnsi" w:hAnsiTheme="minorHAnsi" w:cstheme="minorHAnsi"/>
          <w:szCs w:val="24"/>
          <w:lang w:val="en-US"/>
        </w:rPr>
        <w:t>Historically, the Bayovar Phosphate Rock has been known worldwide for its good P2O5 content, its high solubility and low impurities level. This positions our product as an easily marketable rock in the international market. Golder Associates, who validated the program of exploration and the database necessary to estimate the mineral resources, developed a report in accordance with the Standards of Disclosure for Mineral Projects and in compliance with Canadian standard NI 43-101 and Australian regulation JORC (2004). In such report, the magnitude of resources was determined at 546.1 million tons (dry basis measurements) of phosphate rock with 18.2% of P2O5 under the category of resources. Regarding the Reserves, these are 108.1 million tons of ore of 17.8% of P2O5.</w:t>
      </w:r>
    </w:p>
    <w:p w14:paraId="6B9A9F7E" w14:textId="77777777" w:rsidR="00F45359" w:rsidRPr="005E0152" w:rsidRDefault="00F45359" w:rsidP="00006B26">
      <w:pPr>
        <w:pStyle w:val="Textopredeterminado"/>
        <w:spacing w:line="276" w:lineRule="auto"/>
        <w:jc w:val="both"/>
        <w:rPr>
          <w:rFonts w:asciiTheme="minorHAnsi" w:hAnsiTheme="minorHAnsi" w:cstheme="minorHAnsi"/>
          <w:szCs w:val="24"/>
          <w:lang w:val="en-US"/>
        </w:rPr>
      </w:pPr>
    </w:p>
    <w:p w14:paraId="33C9C8E9" w14:textId="77777777" w:rsidR="00F45359" w:rsidRPr="005E0152" w:rsidRDefault="00F45359" w:rsidP="00F45359">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lastRenderedPageBreak/>
        <w:t>Phosphate rock is obtained through the mining of phosphate minerals, which are then put through a metallurgical process. Phosphate that is contained in phosphate rock serves as a vital macronutrient for transfer of energy, photosynthesis and cells division. Likewise, its contribution is essential for plants growth as it promotes both root development and resistance to droughts. Most natural and farm soils are phosphorous deficient and, as such, application of fertilizers containing such element is required at least once a year. Phosphate rock, among other applications, is used to produce phosphoric acid, and phosphate fertilizers, the latter making up approximately 90% of world phosphate rock. In the family of phosphate fertilizers, the more important are diammonium phosphate (DAP), monoammonium phosphate (MAP) and triple superphosphate (TSP)</w:t>
      </w:r>
      <w:r w:rsidRPr="005E0152">
        <w:rPr>
          <w:rStyle w:val="Refdenotaalpie"/>
          <w:rFonts w:asciiTheme="minorHAnsi" w:hAnsiTheme="minorHAnsi" w:cstheme="minorHAnsi"/>
          <w:szCs w:val="24"/>
          <w:lang w:val="en-US"/>
        </w:rPr>
        <w:footnoteReference w:id="2"/>
      </w:r>
      <w:r w:rsidRPr="005E0152">
        <w:rPr>
          <w:rFonts w:asciiTheme="minorHAnsi" w:hAnsiTheme="minorHAnsi" w:cstheme="minorHAnsi"/>
          <w:szCs w:val="24"/>
          <w:lang w:val="en-US"/>
        </w:rPr>
        <w:t xml:space="preserve">. </w:t>
      </w:r>
    </w:p>
    <w:p w14:paraId="0109CFD0" w14:textId="77777777" w:rsidR="00FC281D" w:rsidRPr="005E0152" w:rsidRDefault="00FC281D" w:rsidP="00006B26">
      <w:pPr>
        <w:pStyle w:val="Textopredeterminado"/>
        <w:spacing w:line="276" w:lineRule="auto"/>
        <w:jc w:val="both"/>
        <w:rPr>
          <w:rFonts w:asciiTheme="minorHAnsi" w:hAnsiTheme="minorHAnsi" w:cstheme="minorHAnsi"/>
          <w:szCs w:val="24"/>
          <w:lang w:val="en-US"/>
        </w:rPr>
      </w:pPr>
    </w:p>
    <w:p w14:paraId="533B7055" w14:textId="6EF67C42" w:rsidR="009D238A" w:rsidRPr="005E0152" w:rsidRDefault="00F45359" w:rsidP="00006B26">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As for the world food market, an industry that closely accompanies the fertilizer industry, according to BCRP figures, phosphate rock prices reached a 10-year high in 2021 as a result of the increase in oil prices, the rise in fertilizer prices, and bottlenecks in the supply chain. Corn prices increased 30% from December 2020 to November 2021; wheat increased by 49% in the same period, and soybean oil by 64%. In the short term, prices are expected to remain under upward pressure due to the possibility of a La Niña phenomenon and the impact this would have on the harvests of the major exporting countries</w:t>
      </w:r>
      <w:r w:rsidR="00FC281D" w:rsidRPr="005E0152">
        <w:rPr>
          <w:rFonts w:asciiTheme="minorHAnsi" w:hAnsiTheme="minorHAnsi" w:cstheme="minorHAnsi"/>
          <w:szCs w:val="24"/>
          <w:lang w:val="en-US"/>
        </w:rPr>
        <w:t xml:space="preserve"> (the United States and Canada)</w:t>
      </w:r>
      <w:r w:rsidR="000E3CA4" w:rsidRPr="005E0152">
        <w:rPr>
          <w:rFonts w:asciiTheme="minorHAnsi" w:hAnsiTheme="minorHAnsi" w:cstheme="minorHAnsi"/>
          <w:szCs w:val="24"/>
          <w:lang w:val="en-US"/>
        </w:rPr>
        <w:t>.</w:t>
      </w:r>
      <w:r w:rsidR="00C15D7C" w:rsidRPr="005E0152">
        <w:rPr>
          <w:rStyle w:val="Refdenotaalpie"/>
          <w:rFonts w:asciiTheme="minorHAnsi" w:hAnsiTheme="minorHAnsi"/>
          <w:szCs w:val="24"/>
          <w:lang w:val="en-US"/>
        </w:rPr>
        <w:footnoteReference w:id="3"/>
      </w:r>
    </w:p>
    <w:p w14:paraId="4822B07B" w14:textId="7CAB3B9E" w:rsidR="00061272" w:rsidRPr="005E0152" w:rsidRDefault="00061272" w:rsidP="00006B26">
      <w:pPr>
        <w:pStyle w:val="Textopredeterminado"/>
        <w:spacing w:line="276" w:lineRule="auto"/>
        <w:jc w:val="both"/>
        <w:rPr>
          <w:rFonts w:asciiTheme="minorHAnsi" w:hAnsiTheme="minorHAnsi" w:cstheme="minorHAnsi"/>
          <w:szCs w:val="24"/>
          <w:lang w:val="en-US"/>
        </w:rPr>
      </w:pPr>
    </w:p>
    <w:p w14:paraId="449CDA97" w14:textId="77777777" w:rsidR="00FC281D" w:rsidRPr="005E0152" w:rsidRDefault="00FC281D" w:rsidP="00FC281D">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 xml:space="preserve">The fertilizer industry, being a gas-demanding industry for the production of urea, has been struck by high prices, energy rationing, and shortages. CF Industries has closed two of its plants in the UK, while Yara announced a 40% reduction in its ammonia production capacity. </w:t>
      </w:r>
    </w:p>
    <w:p w14:paraId="507AB72F" w14:textId="77777777" w:rsidR="00FC281D" w:rsidRPr="005E0152" w:rsidRDefault="00FC281D" w:rsidP="00FC281D">
      <w:pPr>
        <w:pStyle w:val="Textopredeterminado"/>
        <w:spacing w:line="276" w:lineRule="auto"/>
        <w:jc w:val="both"/>
        <w:rPr>
          <w:rFonts w:asciiTheme="minorHAnsi" w:hAnsiTheme="minorHAnsi" w:cstheme="minorHAnsi"/>
          <w:szCs w:val="24"/>
          <w:lang w:val="en-US"/>
        </w:rPr>
      </w:pPr>
    </w:p>
    <w:p w14:paraId="501B0A05" w14:textId="5CF7E749" w:rsidR="00061272" w:rsidRPr="005E0152" w:rsidRDefault="00FC281D" w:rsidP="00FC281D">
      <w:pPr>
        <w:pStyle w:val="Textopredeterminado"/>
        <w:spacing w:line="276" w:lineRule="auto"/>
        <w:jc w:val="both"/>
        <w:rPr>
          <w:rFonts w:asciiTheme="minorHAnsi" w:hAnsiTheme="minorHAnsi" w:cstheme="minorHAnsi"/>
          <w:szCs w:val="24"/>
          <w:vertAlign w:val="superscript"/>
          <w:lang w:val="en-US"/>
        </w:rPr>
      </w:pPr>
      <w:r w:rsidRPr="005E0152">
        <w:rPr>
          <w:rFonts w:asciiTheme="minorHAnsi" w:hAnsiTheme="minorHAnsi" w:cstheme="minorHAnsi"/>
          <w:szCs w:val="24"/>
          <w:lang w:val="en-US"/>
        </w:rPr>
        <w:t>In addition, the series of export restrictions by China and Russia, and the problems in the supply chain, explain the increase in international fertilizer prices by more than 100% until November 2021. According to figures from the BCRP Inflation Report, this same report indicates that the energy crisis is expected to keep gas prices up and, therefore, the cost of production of fertilizers and imported foodstuffs.</w:t>
      </w:r>
      <w:r w:rsidRPr="005E0152">
        <w:rPr>
          <w:rFonts w:asciiTheme="minorHAnsi" w:hAnsiTheme="minorHAnsi" w:cstheme="minorHAnsi"/>
          <w:szCs w:val="24"/>
          <w:vertAlign w:val="superscript"/>
          <w:lang w:val="en-US"/>
        </w:rPr>
        <w:t xml:space="preserve"> </w:t>
      </w:r>
      <w:r w:rsidR="005C65D7" w:rsidRPr="005E0152">
        <w:rPr>
          <w:rFonts w:asciiTheme="minorHAnsi" w:hAnsiTheme="minorHAnsi" w:cstheme="minorHAnsi"/>
          <w:szCs w:val="24"/>
          <w:vertAlign w:val="superscript"/>
          <w:lang w:val="en-US"/>
        </w:rPr>
        <w:t>3</w:t>
      </w:r>
    </w:p>
    <w:p w14:paraId="655C1384" w14:textId="77777777" w:rsidR="00F268EA" w:rsidRPr="005E0152" w:rsidRDefault="00F268EA" w:rsidP="00006B26">
      <w:pPr>
        <w:pStyle w:val="Textopredeterminado"/>
        <w:spacing w:line="276" w:lineRule="auto"/>
        <w:jc w:val="both"/>
        <w:rPr>
          <w:rFonts w:asciiTheme="minorHAnsi" w:hAnsiTheme="minorHAnsi" w:cstheme="minorHAnsi"/>
          <w:szCs w:val="24"/>
          <w:lang w:val="en-US"/>
        </w:rPr>
      </w:pPr>
    </w:p>
    <w:p w14:paraId="26937A3D" w14:textId="1283EE40" w:rsidR="009D238A" w:rsidRPr="005E0152" w:rsidRDefault="005249A0" w:rsidP="00006B26">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As for phosphate rock, the international price reached its highest in 2021 since 2013. It shows a sustained positive trend since mid-2020. This trend is expected to continue in the short term due to geopolitical tensions and domestic policies to protect domestic supply, among other factors, which have caused global supply to fall short of demand</w:t>
      </w:r>
      <w:r w:rsidR="0060654B" w:rsidRPr="005E0152">
        <w:rPr>
          <w:rFonts w:asciiTheme="minorHAnsi" w:hAnsiTheme="minorHAnsi" w:cstheme="minorHAnsi"/>
          <w:szCs w:val="24"/>
          <w:lang w:val="en-US"/>
        </w:rPr>
        <w:t>.</w:t>
      </w:r>
      <w:r w:rsidR="003B1A2E" w:rsidRPr="005E0152">
        <w:rPr>
          <w:rStyle w:val="Refdenotaalpie"/>
          <w:rFonts w:asciiTheme="minorHAnsi" w:hAnsiTheme="minorHAnsi"/>
          <w:szCs w:val="24"/>
          <w:lang w:val="en-US"/>
        </w:rPr>
        <w:footnoteReference w:id="4"/>
      </w:r>
    </w:p>
    <w:p w14:paraId="02C53FD2" w14:textId="77777777" w:rsidR="00C6629F" w:rsidRPr="005E0152" w:rsidRDefault="00C6629F" w:rsidP="0038772D">
      <w:pPr>
        <w:pStyle w:val="Textopredeterminado"/>
        <w:spacing w:line="276" w:lineRule="auto"/>
        <w:jc w:val="center"/>
        <w:rPr>
          <w:rFonts w:asciiTheme="minorHAnsi" w:hAnsiTheme="minorHAnsi" w:cstheme="minorHAnsi"/>
          <w:szCs w:val="24"/>
          <w:u w:val="single"/>
          <w:lang w:val="en-US"/>
        </w:rPr>
      </w:pPr>
    </w:p>
    <w:p w14:paraId="6C11727B" w14:textId="77777777" w:rsidR="005249A0" w:rsidRPr="005E0152" w:rsidRDefault="005249A0" w:rsidP="005249A0">
      <w:pPr>
        <w:pStyle w:val="Textopredeterminado"/>
        <w:spacing w:line="276" w:lineRule="auto"/>
        <w:jc w:val="center"/>
        <w:rPr>
          <w:rFonts w:asciiTheme="minorHAnsi" w:hAnsiTheme="minorHAnsi" w:cstheme="minorHAnsi"/>
          <w:szCs w:val="24"/>
          <w:u w:val="single"/>
          <w:lang w:val="en-US"/>
        </w:rPr>
      </w:pPr>
      <w:r w:rsidRPr="005E0152">
        <w:rPr>
          <w:rFonts w:asciiTheme="minorHAnsi" w:hAnsiTheme="minorHAnsi" w:cstheme="minorHAnsi"/>
          <w:szCs w:val="24"/>
          <w:u w:val="single"/>
          <w:lang w:val="en-US"/>
        </w:rPr>
        <w:lastRenderedPageBreak/>
        <w:t>Monthly Phosphate Rock Price - US$ per MT</w:t>
      </w:r>
    </w:p>
    <w:p w14:paraId="2940CACC" w14:textId="77777777" w:rsidR="00C6629F" w:rsidRPr="005E0152" w:rsidRDefault="00C6629F" w:rsidP="0038772D">
      <w:pPr>
        <w:pStyle w:val="Textopredeterminado"/>
        <w:spacing w:line="276" w:lineRule="auto"/>
        <w:jc w:val="center"/>
        <w:rPr>
          <w:rFonts w:asciiTheme="minorHAnsi" w:hAnsiTheme="minorHAnsi" w:cstheme="minorHAnsi"/>
          <w:szCs w:val="24"/>
          <w:u w:val="single"/>
          <w:lang w:val="en-US"/>
        </w:rPr>
      </w:pPr>
    </w:p>
    <w:p w14:paraId="35B0AB08" w14:textId="792039F9" w:rsidR="0038772D" w:rsidRPr="005E0152" w:rsidRDefault="004B0BA5" w:rsidP="0038772D">
      <w:pPr>
        <w:pStyle w:val="Textopredeterminado"/>
        <w:spacing w:line="276" w:lineRule="auto"/>
        <w:jc w:val="center"/>
        <w:rPr>
          <w:rFonts w:asciiTheme="minorHAnsi" w:hAnsiTheme="minorHAnsi" w:cstheme="minorHAnsi"/>
          <w:sz w:val="20"/>
          <w:szCs w:val="24"/>
          <w:lang w:val="en-US"/>
        </w:rPr>
      </w:pPr>
      <w:r w:rsidRPr="005E0152">
        <w:rPr>
          <w:lang w:val="en-US" w:eastAsia="es-MX"/>
        </w:rPr>
        <w:drawing>
          <wp:inline distT="0" distB="0" distL="0" distR="0" wp14:anchorId="645CEC08" wp14:editId="34217E01">
            <wp:extent cx="4210050" cy="24765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9E3137" w14:textId="77777777" w:rsidR="00C6629F" w:rsidRPr="005E0152" w:rsidRDefault="00C6629F" w:rsidP="0038772D">
      <w:pPr>
        <w:pStyle w:val="Textopredeterminado"/>
        <w:spacing w:line="276" w:lineRule="auto"/>
        <w:jc w:val="center"/>
        <w:rPr>
          <w:rFonts w:asciiTheme="minorHAnsi" w:hAnsiTheme="minorHAnsi" w:cstheme="minorHAnsi"/>
          <w:sz w:val="20"/>
          <w:szCs w:val="24"/>
          <w:lang w:val="en-US"/>
        </w:rPr>
      </w:pPr>
    </w:p>
    <w:p w14:paraId="30D2E69E" w14:textId="4EB41132" w:rsidR="009D238A" w:rsidRPr="005E0152" w:rsidRDefault="005249A0" w:rsidP="0038772D">
      <w:pPr>
        <w:pStyle w:val="Textopredeterminado"/>
        <w:spacing w:line="276" w:lineRule="auto"/>
        <w:rPr>
          <w:rFonts w:asciiTheme="minorHAnsi" w:hAnsiTheme="minorHAnsi" w:cstheme="minorHAnsi"/>
          <w:sz w:val="20"/>
          <w:szCs w:val="24"/>
          <w:lang w:val="en-US"/>
        </w:rPr>
      </w:pPr>
      <w:r w:rsidRPr="005E0152">
        <w:rPr>
          <w:rFonts w:asciiTheme="minorHAnsi" w:hAnsiTheme="minorHAnsi" w:cstheme="minorHAnsi"/>
          <w:sz w:val="20"/>
          <w:szCs w:val="24"/>
          <w:lang w:val="en-US"/>
        </w:rPr>
        <w:t>Source</w:t>
      </w:r>
      <w:r w:rsidR="004D19C7" w:rsidRPr="005E0152">
        <w:rPr>
          <w:rFonts w:asciiTheme="minorHAnsi" w:hAnsiTheme="minorHAnsi" w:cstheme="minorHAnsi"/>
          <w:sz w:val="20"/>
          <w:szCs w:val="24"/>
          <w:lang w:val="en-US"/>
        </w:rPr>
        <w:t>: Indexmundi</w:t>
      </w:r>
    </w:p>
    <w:p w14:paraId="7737A087" w14:textId="77777777" w:rsidR="00661D3C" w:rsidRPr="005E0152" w:rsidRDefault="00661D3C" w:rsidP="0038772D">
      <w:pPr>
        <w:pStyle w:val="Textopredeterminado"/>
        <w:spacing w:line="276" w:lineRule="auto"/>
        <w:rPr>
          <w:rFonts w:asciiTheme="minorHAnsi" w:hAnsiTheme="minorHAnsi" w:cstheme="minorHAnsi"/>
          <w:sz w:val="20"/>
          <w:szCs w:val="24"/>
          <w:lang w:val="en-US"/>
        </w:rPr>
      </w:pPr>
    </w:p>
    <w:p w14:paraId="4D4D4891" w14:textId="770153E0" w:rsidR="009D238A" w:rsidRPr="005E0152" w:rsidRDefault="006964ED" w:rsidP="0038772D">
      <w:pPr>
        <w:pStyle w:val="Textopredeterminado"/>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 xml:space="preserve">C. </w:t>
      </w:r>
      <w:r w:rsidR="00FC655D" w:rsidRPr="005E0152">
        <w:rPr>
          <w:rFonts w:asciiTheme="minorHAnsi" w:hAnsiTheme="minorHAnsi" w:cstheme="minorHAnsi"/>
          <w:b/>
          <w:szCs w:val="24"/>
          <w:lang w:val="en-US"/>
        </w:rPr>
        <w:t>Human Resources</w:t>
      </w:r>
    </w:p>
    <w:p w14:paraId="28E5CD00" w14:textId="77777777" w:rsidR="009D238A" w:rsidRPr="005E0152" w:rsidRDefault="009D238A" w:rsidP="0038772D">
      <w:pPr>
        <w:pStyle w:val="303"/>
        <w:tabs>
          <w:tab w:val="left" w:pos="0"/>
        </w:tabs>
        <w:spacing w:line="276" w:lineRule="auto"/>
        <w:jc w:val="both"/>
        <w:rPr>
          <w:rFonts w:asciiTheme="minorHAnsi" w:hAnsiTheme="minorHAnsi" w:cstheme="minorHAnsi"/>
          <w:sz w:val="24"/>
          <w:szCs w:val="24"/>
        </w:rPr>
      </w:pPr>
    </w:p>
    <w:p w14:paraId="735CF530" w14:textId="79CDF6BC" w:rsidR="00FC655D" w:rsidRPr="005E0152" w:rsidRDefault="00FC655D" w:rsidP="00FC655D">
      <w:pPr>
        <w:pStyle w:val="303"/>
        <w:tabs>
          <w:tab w:val="left" w:pos="0"/>
        </w:tabs>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F</w:t>
      </w:r>
      <w:r w:rsidRPr="005E0152">
        <w:rPr>
          <w:rFonts w:asciiTheme="minorHAnsi" w:hAnsiTheme="minorHAnsi" w:cstheme="minorHAnsi"/>
          <w:sz w:val="24"/>
          <w:szCs w:val="24"/>
        </w:rPr>
        <w:t>OSSAL does not have any staff on payroll since it is an investment company; neither has hired any temporary staff during 202</w:t>
      </w:r>
      <w:r w:rsidRPr="005E0152">
        <w:rPr>
          <w:rFonts w:asciiTheme="minorHAnsi" w:hAnsiTheme="minorHAnsi" w:cstheme="minorHAnsi"/>
          <w:sz w:val="24"/>
          <w:szCs w:val="24"/>
        </w:rPr>
        <w:t>1</w:t>
      </w:r>
      <w:r w:rsidRPr="005E0152">
        <w:rPr>
          <w:rFonts w:asciiTheme="minorHAnsi" w:hAnsiTheme="minorHAnsi" w:cstheme="minorHAnsi"/>
          <w:sz w:val="24"/>
          <w:szCs w:val="24"/>
        </w:rPr>
        <w:t>.</w:t>
      </w:r>
    </w:p>
    <w:p w14:paraId="5037211B" w14:textId="77777777" w:rsidR="00FC655D" w:rsidRPr="005E0152" w:rsidRDefault="00FC655D" w:rsidP="00FC655D">
      <w:pPr>
        <w:pStyle w:val="303"/>
        <w:tabs>
          <w:tab w:val="left" w:pos="0"/>
        </w:tabs>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Senior Management is in charge of Cementos Pacasmayo S.A.A. by virtue of a General Management and Services Agreement.</w:t>
      </w:r>
    </w:p>
    <w:p w14:paraId="08AF0EFD" w14:textId="77777777" w:rsidR="00FC655D" w:rsidRPr="005E0152" w:rsidRDefault="00FC655D" w:rsidP="00FC655D">
      <w:pPr>
        <w:pStyle w:val="303"/>
        <w:tabs>
          <w:tab w:val="left" w:pos="0"/>
        </w:tabs>
        <w:spacing w:line="276" w:lineRule="auto"/>
        <w:jc w:val="both"/>
        <w:rPr>
          <w:rFonts w:asciiTheme="minorHAnsi" w:hAnsiTheme="minorHAnsi" w:cstheme="minorHAnsi"/>
          <w:szCs w:val="24"/>
        </w:rPr>
      </w:pPr>
    </w:p>
    <w:p w14:paraId="577567A4" w14:textId="55EF63DF" w:rsidR="009D238A" w:rsidRPr="005E0152" w:rsidRDefault="006964ED" w:rsidP="00FC655D">
      <w:pPr>
        <w:pStyle w:val="Textopredeterminado"/>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 xml:space="preserve">D. </w:t>
      </w:r>
      <w:r w:rsidR="00FC655D" w:rsidRPr="005E0152">
        <w:rPr>
          <w:rFonts w:asciiTheme="minorHAnsi" w:hAnsiTheme="minorHAnsi" w:cstheme="minorHAnsi"/>
          <w:b/>
          <w:szCs w:val="24"/>
          <w:lang w:val="en-US"/>
        </w:rPr>
        <w:t>Judicial, Administrative or Arbitration Proceedings</w:t>
      </w:r>
    </w:p>
    <w:p w14:paraId="1744A12C" w14:textId="77777777" w:rsidR="00FC655D" w:rsidRPr="005E0152" w:rsidRDefault="00FC655D" w:rsidP="00FC655D">
      <w:pPr>
        <w:pStyle w:val="Textopredeterminado"/>
        <w:spacing w:line="276" w:lineRule="auto"/>
        <w:jc w:val="both"/>
        <w:rPr>
          <w:rFonts w:asciiTheme="minorHAnsi" w:hAnsiTheme="minorHAnsi" w:cstheme="minorHAnsi"/>
          <w:szCs w:val="24"/>
          <w:lang w:val="en-US"/>
        </w:rPr>
      </w:pPr>
    </w:p>
    <w:p w14:paraId="3809A57F" w14:textId="5D54BF88" w:rsidR="00FC655D" w:rsidRPr="005E0152" w:rsidRDefault="00FC655D" w:rsidP="00FC655D">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As of December 31, 2021, and as of the date hereof, there are no legal proceedings against the Company.</w:t>
      </w:r>
    </w:p>
    <w:p w14:paraId="016DFB52" w14:textId="77777777" w:rsidR="009D238A" w:rsidRPr="005E0152" w:rsidRDefault="009D238A" w:rsidP="008A64AA">
      <w:pPr>
        <w:pStyle w:val="Textopredeterminado"/>
        <w:spacing w:line="276" w:lineRule="auto"/>
        <w:jc w:val="both"/>
        <w:rPr>
          <w:rFonts w:asciiTheme="minorHAnsi" w:hAnsiTheme="minorHAnsi" w:cstheme="minorHAnsi"/>
          <w:szCs w:val="24"/>
          <w:lang w:val="en-US"/>
        </w:rPr>
      </w:pPr>
    </w:p>
    <w:p w14:paraId="734F2EF6" w14:textId="638871FB" w:rsidR="009D238A" w:rsidRPr="005E0152" w:rsidRDefault="008A64AA" w:rsidP="008A64AA">
      <w:pPr>
        <w:pStyle w:val="Textopredeterminado"/>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 xml:space="preserve">E. </w:t>
      </w:r>
      <w:r w:rsidR="00FC655D" w:rsidRPr="005E0152">
        <w:rPr>
          <w:rFonts w:asciiTheme="minorHAnsi" w:hAnsiTheme="minorHAnsi" w:cstheme="minorHAnsi"/>
          <w:b/>
          <w:szCs w:val="24"/>
          <w:lang w:val="en-US"/>
        </w:rPr>
        <w:t>Administration</w:t>
      </w:r>
    </w:p>
    <w:p w14:paraId="3FC979B9" w14:textId="77777777" w:rsidR="009D238A" w:rsidRPr="005E0152" w:rsidRDefault="009D238A" w:rsidP="008A64AA">
      <w:pPr>
        <w:spacing w:line="276" w:lineRule="auto"/>
        <w:jc w:val="both"/>
        <w:rPr>
          <w:rFonts w:asciiTheme="minorHAnsi" w:hAnsiTheme="minorHAnsi" w:cstheme="minorHAnsi"/>
          <w:szCs w:val="24"/>
          <w:lang w:val="en-US"/>
        </w:rPr>
      </w:pPr>
    </w:p>
    <w:p w14:paraId="2F4F71DE" w14:textId="5CC3BF85" w:rsidR="009D238A" w:rsidRPr="005E0152" w:rsidRDefault="003720EF" w:rsidP="008A64AA">
      <w:pPr>
        <w:spacing w:line="276" w:lineRule="auto"/>
        <w:jc w:val="both"/>
        <w:rPr>
          <w:rFonts w:asciiTheme="minorHAnsi" w:hAnsiTheme="minorHAnsi" w:cstheme="minorHAnsi"/>
          <w:szCs w:val="24"/>
          <w:lang w:val="en-US"/>
        </w:rPr>
      </w:pPr>
      <w:r>
        <w:rPr>
          <w:rFonts w:asciiTheme="minorHAnsi" w:hAnsiTheme="minorHAnsi" w:cstheme="minorHAnsi"/>
          <w:szCs w:val="24"/>
          <w:lang w:val="en-US"/>
        </w:rPr>
        <w:t>Li</w:t>
      </w:r>
      <w:r w:rsidR="00FC655D" w:rsidRPr="005E0152">
        <w:rPr>
          <w:rFonts w:asciiTheme="minorHAnsi" w:hAnsiTheme="minorHAnsi" w:cstheme="minorHAnsi"/>
          <w:szCs w:val="24"/>
          <w:lang w:val="en-US"/>
        </w:rPr>
        <w:t>st of Directors</w:t>
      </w:r>
      <w:r w:rsidR="006964ED" w:rsidRPr="005E0152">
        <w:rPr>
          <w:rFonts w:asciiTheme="minorHAnsi" w:hAnsiTheme="minorHAnsi" w:cstheme="minorHAnsi"/>
          <w:szCs w:val="24"/>
          <w:lang w:val="en-US"/>
        </w:rPr>
        <w:t>:</w:t>
      </w:r>
    </w:p>
    <w:tbl>
      <w:tblPr>
        <w:tblW w:w="8775" w:type="dxa"/>
        <w:tblInd w:w="-5" w:type="dxa"/>
        <w:tblCellMar>
          <w:left w:w="70" w:type="dxa"/>
          <w:right w:w="70" w:type="dxa"/>
        </w:tblCellMar>
        <w:tblLook w:val="00A0" w:firstRow="1" w:lastRow="0" w:firstColumn="1" w:lastColumn="0" w:noHBand="0" w:noVBand="0"/>
      </w:tblPr>
      <w:tblGrid>
        <w:gridCol w:w="4395"/>
        <w:gridCol w:w="2551"/>
        <w:gridCol w:w="1829"/>
      </w:tblGrid>
      <w:tr w:rsidR="00104AD9" w:rsidRPr="005E0152" w14:paraId="3D862F46" w14:textId="77777777" w:rsidTr="00326853">
        <w:trPr>
          <w:trHeight w:val="374"/>
        </w:trPr>
        <w:tc>
          <w:tcPr>
            <w:tcW w:w="4395" w:type="dxa"/>
            <w:tcBorders>
              <w:top w:val="single" w:sz="4" w:space="0" w:color="auto"/>
              <w:left w:val="single" w:sz="4" w:space="0" w:color="auto"/>
              <w:bottom w:val="single" w:sz="4" w:space="0" w:color="auto"/>
              <w:right w:val="single" w:sz="4" w:space="0" w:color="auto"/>
            </w:tcBorders>
            <w:shd w:val="clear" w:color="000000" w:fill="A5A5A5"/>
            <w:noWrap/>
            <w:vAlign w:val="bottom"/>
          </w:tcPr>
          <w:p w14:paraId="15D02C51" w14:textId="26BE69B7" w:rsidR="009D238A" w:rsidRPr="005E0152" w:rsidRDefault="006964ED" w:rsidP="00FC655D">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N</w:t>
            </w:r>
            <w:r w:rsidR="00FC655D" w:rsidRPr="005E0152">
              <w:rPr>
                <w:rFonts w:asciiTheme="minorHAnsi" w:hAnsiTheme="minorHAnsi" w:cstheme="minorHAnsi"/>
                <w:szCs w:val="24"/>
                <w:lang w:val="en-US"/>
              </w:rPr>
              <w:t>ame</w:t>
            </w:r>
          </w:p>
        </w:tc>
        <w:tc>
          <w:tcPr>
            <w:tcW w:w="2551" w:type="dxa"/>
            <w:tcBorders>
              <w:top w:val="single" w:sz="4" w:space="0" w:color="auto"/>
              <w:left w:val="nil"/>
              <w:bottom w:val="single" w:sz="4" w:space="0" w:color="auto"/>
              <w:right w:val="single" w:sz="4" w:space="0" w:color="auto"/>
            </w:tcBorders>
            <w:shd w:val="clear" w:color="000000" w:fill="A5A5A5"/>
            <w:noWrap/>
            <w:vAlign w:val="bottom"/>
          </w:tcPr>
          <w:p w14:paraId="6E40CAA8" w14:textId="2083F970" w:rsidR="009D238A" w:rsidRPr="005E0152" w:rsidRDefault="00FC655D" w:rsidP="00FC655D">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Position</w:t>
            </w:r>
          </w:p>
        </w:tc>
        <w:tc>
          <w:tcPr>
            <w:tcW w:w="1829" w:type="dxa"/>
            <w:tcBorders>
              <w:top w:val="single" w:sz="4" w:space="0" w:color="auto"/>
              <w:left w:val="nil"/>
              <w:bottom w:val="single" w:sz="4" w:space="0" w:color="auto"/>
              <w:right w:val="single" w:sz="4" w:space="0" w:color="auto"/>
            </w:tcBorders>
            <w:shd w:val="clear" w:color="000000" w:fill="A5A5A5"/>
            <w:noWrap/>
            <w:vAlign w:val="bottom"/>
          </w:tcPr>
          <w:p w14:paraId="46AB87D1" w14:textId="7C996F9B" w:rsidR="009D238A" w:rsidRPr="005E0152" w:rsidRDefault="006964ED" w:rsidP="00FC655D">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 xml:space="preserve">Director </w:t>
            </w:r>
            <w:r w:rsidR="00FC655D" w:rsidRPr="005E0152">
              <w:rPr>
                <w:rFonts w:asciiTheme="minorHAnsi" w:hAnsiTheme="minorHAnsi" w:cstheme="minorHAnsi"/>
                <w:szCs w:val="24"/>
                <w:lang w:val="en-US"/>
              </w:rPr>
              <w:t>since</w:t>
            </w:r>
          </w:p>
        </w:tc>
      </w:tr>
      <w:tr w:rsidR="00326853" w:rsidRPr="005E0152" w14:paraId="5E9BBFD0" w14:textId="77777777" w:rsidTr="00326853">
        <w:trPr>
          <w:trHeight w:val="374"/>
        </w:trPr>
        <w:tc>
          <w:tcPr>
            <w:tcW w:w="439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FD05BCE" w14:textId="63B70BE2" w:rsidR="00326853" w:rsidRPr="005E0152" w:rsidRDefault="00326853" w:rsidP="00326853">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Humberto Nadal Del Carpio</w:t>
            </w:r>
          </w:p>
        </w:tc>
        <w:tc>
          <w:tcPr>
            <w:tcW w:w="2551" w:type="dxa"/>
            <w:tcBorders>
              <w:top w:val="nil"/>
              <w:left w:val="nil"/>
              <w:bottom w:val="single" w:sz="4" w:space="0" w:color="auto"/>
              <w:right w:val="single" w:sz="4" w:space="0" w:color="auto"/>
            </w:tcBorders>
            <w:shd w:val="clear" w:color="000000" w:fill="FFFFFF"/>
            <w:noWrap/>
            <w:vAlign w:val="bottom"/>
          </w:tcPr>
          <w:p w14:paraId="575EE3B2" w14:textId="0378F4C6" w:rsidR="00326853" w:rsidRPr="005E0152" w:rsidRDefault="00FC655D" w:rsidP="00451141">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President</w:t>
            </w:r>
          </w:p>
        </w:tc>
        <w:tc>
          <w:tcPr>
            <w:tcW w:w="1829" w:type="dxa"/>
            <w:tcBorders>
              <w:top w:val="single" w:sz="4" w:space="0" w:color="auto"/>
              <w:left w:val="nil"/>
              <w:bottom w:val="single" w:sz="4" w:space="0" w:color="auto"/>
              <w:right w:val="single" w:sz="4" w:space="0" w:color="auto"/>
            </w:tcBorders>
            <w:shd w:val="clear" w:color="000000" w:fill="FFFFFF"/>
            <w:noWrap/>
          </w:tcPr>
          <w:p w14:paraId="6E521926" w14:textId="585D5F4E" w:rsidR="00326853" w:rsidRPr="005E0152" w:rsidRDefault="00326853" w:rsidP="00326853">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09.</w:t>
            </w:r>
            <w:r w:rsidR="00FC655D" w:rsidRPr="005E0152">
              <w:rPr>
                <w:rFonts w:asciiTheme="minorHAnsi" w:hAnsiTheme="minorHAnsi" w:cstheme="minorHAnsi"/>
                <w:szCs w:val="24"/>
                <w:lang w:val="en-US"/>
              </w:rPr>
              <w:t>26.</w:t>
            </w:r>
            <w:r w:rsidRPr="005E0152">
              <w:rPr>
                <w:rFonts w:asciiTheme="minorHAnsi" w:hAnsiTheme="minorHAnsi" w:cstheme="minorHAnsi"/>
                <w:szCs w:val="24"/>
                <w:lang w:val="en-US"/>
              </w:rPr>
              <w:t>2016</w:t>
            </w:r>
          </w:p>
        </w:tc>
      </w:tr>
      <w:tr w:rsidR="00326853" w:rsidRPr="005E0152" w14:paraId="22CF221D" w14:textId="77777777" w:rsidTr="00326853">
        <w:trPr>
          <w:trHeight w:val="374"/>
        </w:trPr>
        <w:tc>
          <w:tcPr>
            <w:tcW w:w="439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81A75E4" w14:textId="20B3E432" w:rsidR="00326853" w:rsidRPr="005E0152" w:rsidRDefault="00326853" w:rsidP="00326853">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Marco Antonio Zaldívar García</w:t>
            </w:r>
          </w:p>
        </w:tc>
        <w:tc>
          <w:tcPr>
            <w:tcW w:w="2551" w:type="dxa"/>
            <w:tcBorders>
              <w:top w:val="nil"/>
              <w:left w:val="nil"/>
              <w:bottom w:val="single" w:sz="4" w:space="0" w:color="auto"/>
              <w:right w:val="single" w:sz="4" w:space="0" w:color="auto"/>
            </w:tcBorders>
            <w:shd w:val="clear" w:color="000000" w:fill="FFFFFF"/>
            <w:noWrap/>
            <w:vAlign w:val="bottom"/>
          </w:tcPr>
          <w:p w14:paraId="4A2971D0" w14:textId="3EE17D83" w:rsidR="00326853" w:rsidRPr="005E0152" w:rsidRDefault="00FC655D" w:rsidP="0060343F">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Board Member</w:t>
            </w:r>
          </w:p>
        </w:tc>
        <w:tc>
          <w:tcPr>
            <w:tcW w:w="1829" w:type="dxa"/>
            <w:tcBorders>
              <w:top w:val="single" w:sz="4" w:space="0" w:color="auto"/>
              <w:left w:val="nil"/>
              <w:bottom w:val="single" w:sz="4" w:space="0" w:color="auto"/>
              <w:right w:val="single" w:sz="4" w:space="0" w:color="auto"/>
            </w:tcBorders>
            <w:shd w:val="clear" w:color="000000" w:fill="FFFFFF"/>
            <w:noWrap/>
          </w:tcPr>
          <w:p w14:paraId="33000511" w14:textId="29240440" w:rsidR="00326853" w:rsidRPr="005E0152" w:rsidRDefault="00326853" w:rsidP="00326853">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03.</w:t>
            </w:r>
            <w:r w:rsidR="00FC655D" w:rsidRPr="005E0152">
              <w:rPr>
                <w:rFonts w:asciiTheme="minorHAnsi" w:hAnsiTheme="minorHAnsi" w:cstheme="minorHAnsi"/>
                <w:szCs w:val="24"/>
                <w:lang w:val="en-US"/>
              </w:rPr>
              <w:t>24.</w:t>
            </w:r>
            <w:r w:rsidRPr="005E0152">
              <w:rPr>
                <w:rFonts w:asciiTheme="minorHAnsi" w:hAnsiTheme="minorHAnsi" w:cstheme="minorHAnsi"/>
                <w:szCs w:val="24"/>
                <w:lang w:val="en-US"/>
              </w:rPr>
              <w:t>2017</w:t>
            </w:r>
          </w:p>
        </w:tc>
      </w:tr>
      <w:tr w:rsidR="00326853" w:rsidRPr="005E0152" w14:paraId="73DDDCC1" w14:textId="77777777" w:rsidTr="00326853">
        <w:trPr>
          <w:trHeight w:val="374"/>
        </w:trPr>
        <w:tc>
          <w:tcPr>
            <w:tcW w:w="439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F5C6A34" w14:textId="4C0AEF52" w:rsidR="00326853" w:rsidRPr="005E0152" w:rsidRDefault="00326853" w:rsidP="00326853">
            <w:pPr>
              <w:spacing w:line="276" w:lineRule="auto"/>
              <w:rPr>
                <w:rFonts w:asciiTheme="minorHAnsi" w:hAnsiTheme="minorHAnsi" w:cstheme="minorHAnsi"/>
                <w:szCs w:val="24"/>
                <w:lang w:val="en-US"/>
              </w:rPr>
            </w:pPr>
            <w:r w:rsidRPr="005E0152">
              <w:rPr>
                <w:rFonts w:asciiTheme="minorHAnsi" w:hAnsiTheme="minorHAnsi" w:cstheme="minorHAnsi"/>
                <w:szCs w:val="24"/>
                <w:lang w:val="en-US"/>
              </w:rPr>
              <w:t>Manuel Bartolomé Martín Ferreyros Peña.</w:t>
            </w:r>
          </w:p>
        </w:tc>
        <w:tc>
          <w:tcPr>
            <w:tcW w:w="2551" w:type="dxa"/>
            <w:tcBorders>
              <w:top w:val="nil"/>
              <w:left w:val="nil"/>
              <w:bottom w:val="single" w:sz="4" w:space="0" w:color="auto"/>
              <w:right w:val="single" w:sz="4" w:space="0" w:color="auto"/>
            </w:tcBorders>
            <w:shd w:val="clear" w:color="000000" w:fill="FFFFFF"/>
            <w:noWrap/>
            <w:vAlign w:val="bottom"/>
          </w:tcPr>
          <w:p w14:paraId="17634B86" w14:textId="5FB5604D" w:rsidR="00326853" w:rsidRPr="005E0152" w:rsidRDefault="00FC655D" w:rsidP="00326853">
            <w:pPr>
              <w:spacing w:line="276" w:lineRule="auto"/>
              <w:rPr>
                <w:rFonts w:asciiTheme="minorHAnsi" w:hAnsiTheme="minorHAnsi" w:cstheme="minorHAnsi"/>
                <w:szCs w:val="24"/>
                <w:lang w:val="en-US"/>
              </w:rPr>
            </w:pPr>
            <w:r w:rsidRPr="005E0152">
              <w:rPr>
                <w:rFonts w:asciiTheme="minorHAnsi" w:hAnsiTheme="minorHAnsi" w:cstheme="minorHAnsi"/>
                <w:szCs w:val="24"/>
                <w:lang w:val="en-US"/>
              </w:rPr>
              <w:t>Board Member</w:t>
            </w:r>
          </w:p>
        </w:tc>
        <w:tc>
          <w:tcPr>
            <w:tcW w:w="1829" w:type="dxa"/>
            <w:tcBorders>
              <w:top w:val="single" w:sz="4" w:space="0" w:color="auto"/>
              <w:left w:val="nil"/>
              <w:bottom w:val="single" w:sz="4" w:space="0" w:color="auto"/>
              <w:right w:val="single" w:sz="4" w:space="0" w:color="auto"/>
            </w:tcBorders>
            <w:shd w:val="clear" w:color="000000" w:fill="FFFFFF"/>
            <w:noWrap/>
          </w:tcPr>
          <w:p w14:paraId="57550641" w14:textId="5B381013" w:rsidR="00326853" w:rsidRPr="005E0152" w:rsidRDefault="00326853" w:rsidP="00326853">
            <w:pPr>
              <w:spacing w:line="276" w:lineRule="auto"/>
              <w:rPr>
                <w:rFonts w:asciiTheme="minorHAnsi" w:hAnsiTheme="minorHAnsi" w:cstheme="minorHAnsi"/>
                <w:szCs w:val="24"/>
                <w:lang w:val="en-US"/>
              </w:rPr>
            </w:pPr>
            <w:r w:rsidRPr="005E0152">
              <w:rPr>
                <w:rFonts w:asciiTheme="minorHAnsi" w:hAnsiTheme="minorHAnsi" w:cstheme="minorHAnsi"/>
                <w:szCs w:val="24"/>
                <w:lang w:val="en-US"/>
              </w:rPr>
              <w:t>02.</w:t>
            </w:r>
            <w:r w:rsidR="00FC655D" w:rsidRPr="005E0152">
              <w:rPr>
                <w:rFonts w:asciiTheme="minorHAnsi" w:hAnsiTheme="minorHAnsi" w:cstheme="minorHAnsi"/>
                <w:szCs w:val="24"/>
                <w:lang w:val="en-US"/>
              </w:rPr>
              <w:t>15.</w:t>
            </w:r>
            <w:r w:rsidRPr="005E0152">
              <w:rPr>
                <w:rFonts w:asciiTheme="minorHAnsi" w:hAnsiTheme="minorHAnsi" w:cstheme="minorHAnsi"/>
                <w:szCs w:val="24"/>
                <w:lang w:val="en-US"/>
              </w:rPr>
              <w:t>2021</w:t>
            </w:r>
          </w:p>
        </w:tc>
      </w:tr>
    </w:tbl>
    <w:p w14:paraId="1F0C8981" w14:textId="77777777" w:rsidR="009D238A" w:rsidRPr="005E0152" w:rsidRDefault="009D238A" w:rsidP="008A64AA">
      <w:pPr>
        <w:spacing w:line="276" w:lineRule="auto"/>
        <w:jc w:val="both"/>
        <w:rPr>
          <w:rFonts w:asciiTheme="minorHAnsi" w:hAnsiTheme="minorHAnsi" w:cstheme="minorHAnsi"/>
          <w:szCs w:val="24"/>
          <w:lang w:val="en-US"/>
        </w:rPr>
      </w:pPr>
    </w:p>
    <w:p w14:paraId="3F03D7FB" w14:textId="77777777" w:rsidR="001C2122" w:rsidRPr="005E0152" w:rsidRDefault="001C2122" w:rsidP="008A64AA">
      <w:pPr>
        <w:spacing w:line="276" w:lineRule="auto"/>
        <w:jc w:val="both"/>
        <w:rPr>
          <w:rFonts w:asciiTheme="minorHAnsi" w:hAnsiTheme="minorHAnsi" w:cstheme="minorHAnsi"/>
          <w:b/>
          <w:szCs w:val="24"/>
          <w:lang w:val="en-US"/>
        </w:rPr>
      </w:pPr>
    </w:p>
    <w:p w14:paraId="14FE4000" w14:textId="77777777" w:rsidR="003720EF" w:rsidRDefault="003720EF">
      <w:pPr>
        <w:spacing w:after="200" w:line="276" w:lineRule="auto"/>
        <w:rPr>
          <w:rFonts w:asciiTheme="minorHAnsi" w:hAnsiTheme="minorHAnsi" w:cstheme="minorHAnsi"/>
          <w:b/>
          <w:szCs w:val="24"/>
          <w:lang w:val="en-US"/>
        </w:rPr>
      </w:pPr>
      <w:r>
        <w:rPr>
          <w:rFonts w:asciiTheme="minorHAnsi" w:hAnsiTheme="minorHAnsi" w:cstheme="minorHAnsi"/>
          <w:b/>
          <w:szCs w:val="24"/>
          <w:lang w:val="en-US"/>
        </w:rPr>
        <w:br w:type="page"/>
      </w:r>
    </w:p>
    <w:p w14:paraId="081A8ADF" w14:textId="52F4D0E2" w:rsidR="001C2122" w:rsidRPr="005E0152" w:rsidRDefault="001C2122" w:rsidP="001C2122">
      <w:pPr>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lastRenderedPageBreak/>
        <w:t>Humberto Nadal Del Carpio</w:t>
      </w:r>
    </w:p>
    <w:p w14:paraId="7D4E4534" w14:textId="77777777" w:rsidR="001C2122" w:rsidRPr="005E0152" w:rsidRDefault="001C2122" w:rsidP="001C2122">
      <w:pPr>
        <w:spacing w:line="276" w:lineRule="auto"/>
        <w:jc w:val="both"/>
        <w:rPr>
          <w:rFonts w:asciiTheme="minorHAnsi" w:hAnsiTheme="minorHAnsi" w:cstheme="minorHAnsi"/>
          <w:lang w:val="en-US"/>
        </w:rPr>
      </w:pPr>
    </w:p>
    <w:p w14:paraId="795A0438" w14:textId="2E78425C" w:rsidR="00FC655D" w:rsidRPr="005E0152" w:rsidRDefault="00FC655D" w:rsidP="00FC655D">
      <w:pPr>
        <w:spacing w:line="276" w:lineRule="auto"/>
        <w:jc w:val="both"/>
        <w:rPr>
          <w:rFonts w:asciiTheme="minorHAnsi" w:hAnsiTheme="minorHAnsi" w:cstheme="minorHAnsi"/>
          <w:lang w:val="en-US"/>
        </w:rPr>
      </w:pPr>
      <w:r w:rsidRPr="005E0152">
        <w:rPr>
          <w:rFonts w:asciiTheme="minorHAnsi" w:hAnsiTheme="minorHAnsi" w:cstheme="minorHAnsi"/>
          <w:lang w:val="en-US"/>
        </w:rPr>
        <w:t>Mr. Nadal joined Cementos Pacasm</w:t>
      </w:r>
      <w:r w:rsidRPr="005E0152">
        <w:rPr>
          <w:rFonts w:asciiTheme="minorHAnsi" w:hAnsiTheme="minorHAnsi" w:cstheme="minorHAnsi"/>
          <w:lang w:val="en-US"/>
        </w:rPr>
        <w:t xml:space="preserve">ayo as Corporate Development Manager in June 2007, has been Director since March 2008 and Chief Executive Officer of Cementos Pacasmayo since April 2011.  He received an undergraduate degree in Economics from Universidad del Pacífico and a Master´s degree in Business Administration from Georgetown University. He is also CEO of ASPI S.A., Fosfatos del Pacifico S.A. and FOSSAL. Additionally, he is </w:t>
      </w:r>
      <w:r w:rsidRPr="005E0152">
        <w:rPr>
          <w:rFonts w:asciiTheme="minorHAnsi" w:hAnsiTheme="minorHAnsi" w:cstheme="minorHAnsi"/>
          <w:lang w:val="en-US" w:eastAsia="es-PE"/>
        </w:rPr>
        <w:t xml:space="preserve">Vice-Chairman of the Board of Directors of Ferreycorp and a member on the Board of Directors of Ferreyros, has been </w:t>
      </w:r>
      <w:r w:rsidRPr="005E0152">
        <w:rPr>
          <w:rFonts w:asciiTheme="minorHAnsi" w:hAnsiTheme="minorHAnsi" w:cstheme="minorHAnsi"/>
          <w:lang w:val="en-US"/>
        </w:rPr>
        <w:t xml:space="preserve">Chairman of Patronato de la Universidad del Pacifico and Chairman of the Board of Directors of Fondo Mi Vivienda. In April 2006, he joined Compañía Minera Ares S.A.C. (subsidiary of Hochschild Mining plc) as Corporate Development Manager. Mr. Nadal was also Business, Administration and Finance Manager of the Instituto Libertad y Democracia and CEO of Socosani S.A. Distinguished among the three best CEOs of the construction industry in Latin America by the Institutional Investor magazine for the years 2014, 2015, 2016, 2017, 2018 and 2019. </w:t>
      </w:r>
    </w:p>
    <w:p w14:paraId="7A7A3756" w14:textId="77777777" w:rsidR="003720EF" w:rsidRDefault="003720EF" w:rsidP="008A64AA">
      <w:pPr>
        <w:spacing w:line="276" w:lineRule="auto"/>
        <w:jc w:val="both"/>
        <w:rPr>
          <w:rFonts w:asciiTheme="minorHAnsi" w:hAnsiTheme="minorHAnsi" w:cstheme="minorHAnsi"/>
          <w:b/>
          <w:szCs w:val="24"/>
          <w:lang w:val="en-US"/>
        </w:rPr>
      </w:pPr>
    </w:p>
    <w:p w14:paraId="7F24A9E2" w14:textId="0AF88104" w:rsidR="009D238A" w:rsidRPr="005E0152" w:rsidRDefault="006964ED" w:rsidP="008A64AA">
      <w:pPr>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 xml:space="preserve">Marco Antonio Zaldívar García </w:t>
      </w:r>
    </w:p>
    <w:p w14:paraId="3C963C09" w14:textId="77777777" w:rsidR="009D238A" w:rsidRPr="005E0152" w:rsidRDefault="009D238A" w:rsidP="008A64AA">
      <w:pPr>
        <w:spacing w:line="276" w:lineRule="auto"/>
        <w:jc w:val="both"/>
        <w:rPr>
          <w:rFonts w:asciiTheme="minorHAnsi" w:hAnsiTheme="minorHAnsi" w:cstheme="minorHAnsi"/>
          <w:szCs w:val="24"/>
          <w:lang w:val="en-US"/>
        </w:rPr>
      </w:pPr>
    </w:p>
    <w:p w14:paraId="69A409C1" w14:textId="77777777" w:rsidR="00FC655D" w:rsidRPr="005E0152" w:rsidRDefault="00FC655D" w:rsidP="00FC655D">
      <w:pPr>
        <w:spacing w:line="276" w:lineRule="auto"/>
        <w:jc w:val="both"/>
        <w:rPr>
          <w:rFonts w:asciiTheme="minorHAnsi" w:hAnsiTheme="minorHAnsi" w:cstheme="minorHAnsi"/>
          <w:color w:val="222222"/>
          <w:shd w:val="clear" w:color="auto" w:fill="FFFFFF"/>
          <w:lang w:val="en-US" w:eastAsia="es-PE"/>
        </w:rPr>
      </w:pPr>
      <w:r w:rsidRPr="005E0152">
        <w:rPr>
          <w:rFonts w:asciiTheme="minorHAnsi" w:hAnsiTheme="minorHAnsi" w:cstheme="minorHAnsi"/>
          <w:color w:val="222222"/>
          <w:shd w:val="clear" w:color="auto" w:fill="FFFFFF"/>
          <w:lang w:val="en-US" w:eastAsia="es-PE"/>
        </w:rPr>
        <w:t>Mr. Zaldívar is a Certified Public Accountant, graduated from Universidad de Lima and the PAD Executive Development Program of the Universidad de Piura. He has an MBA at the Adolfo Ibáñez School of Management (USA). He has been Chairman of the Board of Directors of the Lima Stock Exchange. Previously, at Ernst &amp; Young, he has been a Partner of Risk Management and Regulatory Matters, Senior Partner of the Audit and Business Advisory Division of the firm. He has also been Vice Dean of the Association of Public Accountants of Lima, President of the Board of Directors and Chairman of the Good Corporate Governance Committee of Procapitales. He is currently Independent Director of Banco Santander del Perú, Edpyme Santander Consumo and Compañía de Minas Buenaventura, among other positions, highlighting his extensive experience in Corporate Governance issues.</w:t>
      </w:r>
    </w:p>
    <w:p w14:paraId="3CEB8566" w14:textId="4B11F5A0" w:rsidR="00C52C74" w:rsidRPr="005E0152" w:rsidRDefault="00C52C74" w:rsidP="00507966">
      <w:pPr>
        <w:spacing w:line="276" w:lineRule="auto"/>
        <w:jc w:val="both"/>
        <w:rPr>
          <w:rFonts w:asciiTheme="minorHAnsi" w:hAnsiTheme="minorHAnsi" w:cstheme="minorHAnsi"/>
          <w:color w:val="222222"/>
          <w:shd w:val="clear" w:color="auto" w:fill="FFFFFF"/>
          <w:lang w:val="en-US" w:eastAsia="es-PE"/>
        </w:rPr>
      </w:pPr>
    </w:p>
    <w:p w14:paraId="315509A7" w14:textId="7C5A8444" w:rsidR="00C52C74" w:rsidRPr="005E0152" w:rsidRDefault="00C52C74" w:rsidP="00C52C74">
      <w:pPr>
        <w:widowControl w:val="0"/>
        <w:spacing w:after="160"/>
        <w:jc w:val="both"/>
        <w:rPr>
          <w:rFonts w:asciiTheme="minorHAnsi" w:hAnsiTheme="minorHAnsi" w:cs="Cambria"/>
          <w:b/>
          <w:lang w:val="en-US"/>
        </w:rPr>
      </w:pPr>
      <w:r w:rsidRPr="005E0152">
        <w:rPr>
          <w:rFonts w:asciiTheme="minorHAnsi" w:hAnsiTheme="minorHAnsi" w:cs="Cambria"/>
          <w:b/>
          <w:lang w:val="en-US"/>
        </w:rPr>
        <w:t>Manuel</w:t>
      </w:r>
      <w:r w:rsidR="003720EF">
        <w:rPr>
          <w:rFonts w:asciiTheme="minorHAnsi" w:hAnsiTheme="minorHAnsi" w:cs="Cambria"/>
          <w:b/>
          <w:lang w:val="en-US"/>
        </w:rPr>
        <w:t xml:space="preserve"> Ferreyros Peña. </w:t>
      </w:r>
    </w:p>
    <w:p w14:paraId="0EFA5480" w14:textId="5B1C22DC" w:rsidR="00FC655D" w:rsidRPr="005E0152" w:rsidRDefault="00FC655D" w:rsidP="00C52C74">
      <w:pPr>
        <w:widowControl w:val="0"/>
        <w:spacing w:after="160"/>
        <w:jc w:val="both"/>
        <w:rPr>
          <w:rFonts w:asciiTheme="minorHAnsi" w:hAnsiTheme="minorHAnsi" w:cstheme="minorHAnsi"/>
          <w:color w:val="222222"/>
          <w:shd w:val="clear" w:color="auto" w:fill="FFFFFF"/>
          <w:lang w:val="en-US" w:eastAsia="es-PE"/>
        </w:rPr>
      </w:pPr>
      <w:r w:rsidRPr="005E0152">
        <w:rPr>
          <w:rFonts w:asciiTheme="minorHAnsi" w:hAnsiTheme="minorHAnsi" w:cstheme="minorHAnsi"/>
          <w:color w:val="222222"/>
          <w:shd w:val="clear" w:color="auto" w:fill="FFFFFF"/>
          <w:lang w:val="en-US" w:eastAsia="es-PE"/>
        </w:rPr>
        <w:t xml:space="preserve">Mr. Ferreyros is currently Vice President of Administration and Finance at Cementos Pacasmayo S.A.A. Mr. Ferreyros holds a degree in Business Administration from the Universidad de Lima, a multinational MBA from the Adolfo Ibañez School of Management, Miami, and an MBA from the College of Insurance in New York. Mr. Ferreyros has participated in the Senior Management Program at the Central American Institute of Business Administration (INCAE) and the CEO's Management Program at the Kellogg School of Management, among others.  Prior to joining the Company, Mr. Ferreyros was General Manager of La Positiva Seguros y Reaseguros. Mr. Ferreyros has been distinguished among the top three CFOs in the construction industry in Latin America by Institutional Investor magazine for 2014, 2015, 2016, 2017, 2018, 2019, and </w:t>
      </w:r>
      <w:r w:rsidRPr="005E0152">
        <w:rPr>
          <w:rFonts w:asciiTheme="minorHAnsi" w:hAnsiTheme="minorHAnsi" w:cstheme="minorHAnsi"/>
          <w:color w:val="222222"/>
          <w:shd w:val="clear" w:color="auto" w:fill="FFFFFF"/>
          <w:lang w:val="en-US" w:eastAsia="es-PE"/>
        </w:rPr>
        <w:lastRenderedPageBreak/>
        <w:t>2020.</w:t>
      </w:r>
    </w:p>
    <w:p w14:paraId="0B08D3B2" w14:textId="77777777" w:rsidR="00C52C74" w:rsidRPr="005E0152" w:rsidRDefault="00C52C74" w:rsidP="00507966">
      <w:pPr>
        <w:spacing w:line="276" w:lineRule="auto"/>
        <w:jc w:val="both"/>
        <w:rPr>
          <w:rFonts w:asciiTheme="minorHAnsi" w:hAnsiTheme="minorHAnsi" w:cstheme="minorHAnsi"/>
          <w:color w:val="222222"/>
          <w:shd w:val="clear" w:color="auto" w:fill="FFFFFF"/>
          <w:lang w:val="en-US" w:eastAsia="es-PE"/>
        </w:rPr>
      </w:pPr>
    </w:p>
    <w:p w14:paraId="3AA4B1C5" w14:textId="3BF7A6CB" w:rsidR="009D238A" w:rsidRPr="005E0152" w:rsidRDefault="006964ED" w:rsidP="008A64AA">
      <w:pPr>
        <w:pStyle w:val="Textopredeterminado"/>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F</w:t>
      </w:r>
      <w:r w:rsidR="008E23AC" w:rsidRPr="005E0152">
        <w:rPr>
          <w:rFonts w:asciiTheme="minorHAnsi" w:hAnsiTheme="minorHAnsi" w:cstheme="minorHAnsi"/>
          <w:b/>
          <w:szCs w:val="24"/>
          <w:lang w:val="en-US"/>
        </w:rPr>
        <w:t>.</w:t>
      </w:r>
      <w:r w:rsidRPr="005E0152">
        <w:rPr>
          <w:rFonts w:asciiTheme="minorHAnsi" w:hAnsiTheme="minorHAnsi" w:cstheme="minorHAnsi"/>
          <w:b/>
          <w:szCs w:val="24"/>
          <w:lang w:val="en-US"/>
        </w:rPr>
        <w:t xml:space="preserve"> </w:t>
      </w:r>
      <w:r w:rsidR="00214FF5" w:rsidRPr="005E0152">
        <w:rPr>
          <w:rFonts w:asciiTheme="minorHAnsi" w:hAnsiTheme="minorHAnsi" w:cstheme="minorHAnsi"/>
          <w:b/>
          <w:szCs w:val="24"/>
          <w:lang w:val="en-US"/>
        </w:rPr>
        <w:t>General Administration</w:t>
      </w:r>
    </w:p>
    <w:p w14:paraId="5B449F84" w14:textId="77777777" w:rsidR="009D238A" w:rsidRPr="005E0152" w:rsidRDefault="009D238A" w:rsidP="008A64AA">
      <w:pPr>
        <w:pStyle w:val="303"/>
        <w:tabs>
          <w:tab w:val="left" w:pos="0"/>
        </w:tabs>
        <w:spacing w:line="276" w:lineRule="auto"/>
        <w:jc w:val="both"/>
        <w:rPr>
          <w:rFonts w:asciiTheme="minorHAnsi" w:hAnsiTheme="minorHAnsi" w:cstheme="minorHAnsi"/>
          <w:spacing w:val="20"/>
          <w:sz w:val="24"/>
          <w:szCs w:val="24"/>
        </w:rPr>
      </w:pPr>
    </w:p>
    <w:p w14:paraId="429E551E" w14:textId="77777777" w:rsidR="00214FF5" w:rsidRPr="005E0152" w:rsidRDefault="00214FF5" w:rsidP="00214FF5">
      <w:pPr>
        <w:pStyle w:val="303"/>
        <w:tabs>
          <w:tab w:val="left" w:pos="0"/>
        </w:tabs>
        <w:spacing w:line="276" w:lineRule="auto"/>
        <w:jc w:val="both"/>
        <w:rPr>
          <w:rFonts w:asciiTheme="minorHAnsi" w:hAnsiTheme="minorHAnsi" w:cstheme="minorHAnsi"/>
          <w:sz w:val="24"/>
        </w:rPr>
      </w:pPr>
      <w:r w:rsidRPr="005E0152">
        <w:rPr>
          <w:rFonts w:asciiTheme="minorHAnsi" w:hAnsiTheme="minorHAnsi" w:cstheme="minorHAnsi"/>
          <w:sz w:val="24"/>
        </w:rPr>
        <w:t>The general administration service provided by Cementos Pacasmayo S.A.A. to the Company includes, in addition to its function as general manager, services according to the requirements and needs of the company, such as: (i) legal advice, (ii) internal audit, (iii) accounting, (iv) human resources, (v) logistics, (vi) budget, treasury and finance, (vii) information and communications systems, and (viii) general services (visits, correspondence, telephone exchange and archiving). Cementos Pacasmayo S.A.A. is providing these services since 2016.</w:t>
      </w:r>
    </w:p>
    <w:p w14:paraId="4F342CB3" w14:textId="77777777" w:rsidR="00214FF5" w:rsidRPr="005E0152" w:rsidRDefault="00214FF5" w:rsidP="00214FF5">
      <w:pPr>
        <w:pStyle w:val="303"/>
        <w:tabs>
          <w:tab w:val="left" w:pos="0"/>
        </w:tabs>
        <w:spacing w:line="276" w:lineRule="auto"/>
        <w:jc w:val="both"/>
        <w:rPr>
          <w:rFonts w:asciiTheme="minorHAnsi" w:hAnsiTheme="minorHAnsi" w:cstheme="minorHAnsi"/>
          <w:sz w:val="24"/>
        </w:rPr>
      </w:pPr>
    </w:p>
    <w:p w14:paraId="1FA3AFD6" w14:textId="77777777" w:rsidR="00214FF5" w:rsidRPr="005E0152" w:rsidRDefault="00214FF5" w:rsidP="00214FF5">
      <w:pPr>
        <w:pStyle w:val="303"/>
        <w:numPr>
          <w:ilvl w:val="0"/>
          <w:numId w:val="4"/>
        </w:numPr>
        <w:tabs>
          <w:tab w:val="left" w:pos="0"/>
        </w:tabs>
        <w:spacing w:line="276" w:lineRule="auto"/>
        <w:jc w:val="both"/>
        <w:rPr>
          <w:rFonts w:asciiTheme="minorHAnsi" w:hAnsiTheme="minorHAnsi" w:cstheme="minorHAnsi"/>
          <w:sz w:val="24"/>
        </w:rPr>
      </w:pPr>
      <w:r w:rsidRPr="005E0152">
        <w:rPr>
          <w:rFonts w:asciiTheme="minorHAnsi" w:hAnsiTheme="minorHAnsi" w:cstheme="minorHAnsi"/>
          <w:sz w:val="24"/>
        </w:rPr>
        <w:t>Management Staff:</w:t>
      </w:r>
    </w:p>
    <w:p w14:paraId="659D724A" w14:textId="77777777" w:rsidR="00214FF5" w:rsidRPr="005E0152" w:rsidRDefault="00214FF5" w:rsidP="00214FF5">
      <w:pPr>
        <w:pStyle w:val="303"/>
        <w:tabs>
          <w:tab w:val="left" w:pos="0"/>
          <w:tab w:val="left" w:pos="360"/>
        </w:tabs>
        <w:spacing w:line="276" w:lineRule="auto"/>
        <w:jc w:val="both"/>
        <w:rPr>
          <w:rFonts w:asciiTheme="minorHAnsi" w:hAnsiTheme="minorHAnsi" w:cstheme="minorHAnsi"/>
          <w:sz w:val="24"/>
        </w:rPr>
      </w:pPr>
    </w:p>
    <w:p w14:paraId="64368102" w14:textId="77777777" w:rsidR="00214FF5" w:rsidRPr="005E0152" w:rsidRDefault="00214FF5" w:rsidP="00214FF5">
      <w:pPr>
        <w:pStyle w:val="303"/>
        <w:tabs>
          <w:tab w:val="left" w:pos="0"/>
          <w:tab w:val="left" w:pos="360"/>
        </w:tabs>
        <w:spacing w:line="276" w:lineRule="auto"/>
        <w:jc w:val="both"/>
        <w:rPr>
          <w:rFonts w:asciiTheme="minorHAnsi" w:hAnsiTheme="minorHAnsi" w:cstheme="minorHAnsi"/>
          <w:sz w:val="24"/>
        </w:rPr>
      </w:pPr>
      <w:r w:rsidRPr="005E0152">
        <w:rPr>
          <w:rFonts w:asciiTheme="minorHAnsi" w:hAnsiTheme="minorHAnsi" w:cstheme="minorHAnsi"/>
          <w:sz w:val="24"/>
        </w:rPr>
        <w:t>General Manager: Cementos Pacasmayo S.A.A.  Mr. Humberto Nadal del Carpio is the natural person that represents it.</w:t>
      </w:r>
    </w:p>
    <w:p w14:paraId="1A001ACC" w14:textId="77777777" w:rsidR="00214FF5" w:rsidRPr="005E0152" w:rsidRDefault="00214FF5" w:rsidP="00214FF5">
      <w:pPr>
        <w:pStyle w:val="303"/>
        <w:tabs>
          <w:tab w:val="left" w:pos="0"/>
          <w:tab w:val="left" w:pos="360"/>
        </w:tabs>
        <w:spacing w:line="276" w:lineRule="auto"/>
        <w:jc w:val="both"/>
        <w:rPr>
          <w:rFonts w:asciiTheme="minorHAnsi" w:hAnsiTheme="minorHAnsi" w:cstheme="minorHAnsi"/>
          <w:sz w:val="24"/>
        </w:rPr>
      </w:pPr>
    </w:p>
    <w:p w14:paraId="1110BB43" w14:textId="77777777" w:rsidR="00214FF5" w:rsidRPr="005E0152" w:rsidRDefault="00214FF5" w:rsidP="00214FF5">
      <w:pPr>
        <w:pStyle w:val="303"/>
        <w:tabs>
          <w:tab w:val="left" w:pos="0"/>
          <w:tab w:val="left" w:pos="360"/>
        </w:tabs>
        <w:spacing w:line="276" w:lineRule="auto"/>
        <w:jc w:val="both"/>
        <w:rPr>
          <w:rFonts w:asciiTheme="minorHAnsi" w:hAnsiTheme="minorHAnsi" w:cstheme="minorHAnsi"/>
          <w:sz w:val="24"/>
        </w:rPr>
      </w:pPr>
      <w:r w:rsidRPr="005E0152">
        <w:rPr>
          <w:rFonts w:asciiTheme="minorHAnsi" w:hAnsiTheme="minorHAnsi" w:cstheme="minorHAnsi"/>
          <w:sz w:val="24"/>
        </w:rPr>
        <w:t>The other management tasks of the company are carried out by Cementos Pacasmayo personnel, according to the General Management Agreement and Services Provision.</w:t>
      </w:r>
    </w:p>
    <w:p w14:paraId="562C9596" w14:textId="588AFC1F" w:rsidR="00EB5203" w:rsidRPr="005E0152" w:rsidRDefault="00EB5203" w:rsidP="00214FF5">
      <w:pPr>
        <w:pStyle w:val="303"/>
        <w:tabs>
          <w:tab w:val="left" w:pos="0"/>
          <w:tab w:val="left" w:pos="360"/>
        </w:tabs>
        <w:spacing w:line="276" w:lineRule="auto"/>
        <w:jc w:val="both"/>
        <w:rPr>
          <w:rFonts w:asciiTheme="minorHAnsi" w:hAnsiTheme="minorHAnsi" w:cstheme="minorHAnsi"/>
          <w:b/>
          <w:spacing w:val="20"/>
          <w:sz w:val="26"/>
          <w:szCs w:val="26"/>
        </w:rPr>
      </w:pPr>
    </w:p>
    <w:p w14:paraId="25C4995D" w14:textId="5782C2B0" w:rsidR="009D238A" w:rsidRPr="005E0152" w:rsidRDefault="006964ED" w:rsidP="008A64AA">
      <w:pPr>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G</w:t>
      </w:r>
      <w:r w:rsidR="00214FF5" w:rsidRPr="005E0152">
        <w:rPr>
          <w:rFonts w:asciiTheme="minorHAnsi" w:hAnsiTheme="minorHAnsi" w:cstheme="minorHAnsi"/>
          <w:b/>
          <w:szCs w:val="24"/>
          <w:lang w:val="en-US"/>
        </w:rPr>
        <w:t>. Operation</w:t>
      </w:r>
      <w:r w:rsidRPr="005E0152">
        <w:rPr>
          <w:rFonts w:asciiTheme="minorHAnsi" w:hAnsiTheme="minorHAnsi" w:cstheme="minorHAnsi"/>
          <w:b/>
          <w:szCs w:val="24"/>
          <w:lang w:val="en-US"/>
        </w:rPr>
        <w:t xml:space="preserve"> </w:t>
      </w:r>
    </w:p>
    <w:p w14:paraId="023C399D" w14:textId="77777777" w:rsidR="009D238A" w:rsidRPr="005E0152" w:rsidRDefault="009D238A" w:rsidP="008A64AA">
      <w:pPr>
        <w:spacing w:line="276" w:lineRule="auto"/>
        <w:jc w:val="both"/>
        <w:rPr>
          <w:rFonts w:asciiTheme="minorHAnsi" w:hAnsiTheme="minorHAnsi" w:cstheme="minorHAnsi"/>
          <w:b/>
          <w:szCs w:val="24"/>
          <w:lang w:val="en-US"/>
        </w:rPr>
      </w:pPr>
    </w:p>
    <w:p w14:paraId="2ACAF2E6" w14:textId="77777777" w:rsidR="00214FF5" w:rsidRPr="005E0152" w:rsidRDefault="00214FF5" w:rsidP="002A6975">
      <w:pPr>
        <w:pStyle w:val="303"/>
        <w:tabs>
          <w:tab w:val="left" w:pos="0"/>
          <w:tab w:val="left" w:pos="360"/>
        </w:tabs>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FOSSAL had no direct sales operating income in 2021 or 2020.</w:t>
      </w:r>
    </w:p>
    <w:p w14:paraId="1696A284" w14:textId="77777777" w:rsidR="009D238A" w:rsidRPr="005E0152" w:rsidRDefault="009D238A" w:rsidP="008A64AA">
      <w:pPr>
        <w:spacing w:line="276" w:lineRule="auto"/>
        <w:jc w:val="both"/>
        <w:rPr>
          <w:rFonts w:asciiTheme="minorHAnsi" w:hAnsiTheme="minorHAnsi" w:cstheme="minorHAnsi"/>
          <w:b/>
          <w:spacing w:val="20"/>
          <w:sz w:val="26"/>
          <w:szCs w:val="26"/>
          <w:lang w:val="en-US"/>
        </w:rPr>
      </w:pPr>
    </w:p>
    <w:p w14:paraId="2BE56790" w14:textId="76BDF758" w:rsidR="004E7B85" w:rsidRPr="005E0152" w:rsidRDefault="004E7B85" w:rsidP="004E7B85">
      <w:pPr>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 xml:space="preserve">H. </w:t>
      </w:r>
      <w:r w:rsidR="00214FF5" w:rsidRPr="005E0152">
        <w:rPr>
          <w:rFonts w:asciiTheme="minorHAnsi" w:hAnsiTheme="minorHAnsi" w:cstheme="minorHAnsi"/>
          <w:b/>
          <w:szCs w:val="24"/>
          <w:lang w:val="en-US"/>
        </w:rPr>
        <w:t>Main Assets</w:t>
      </w:r>
    </w:p>
    <w:p w14:paraId="1AC2CF57" w14:textId="77777777" w:rsidR="004E7B85" w:rsidRPr="005E0152" w:rsidRDefault="004E7B85" w:rsidP="004E7B85">
      <w:pPr>
        <w:spacing w:line="276" w:lineRule="auto"/>
        <w:jc w:val="both"/>
        <w:rPr>
          <w:rFonts w:asciiTheme="minorHAnsi" w:hAnsiTheme="minorHAnsi" w:cstheme="minorHAnsi"/>
          <w:b/>
          <w:szCs w:val="24"/>
          <w:lang w:val="en-US"/>
        </w:rPr>
      </w:pPr>
    </w:p>
    <w:p w14:paraId="34B9E6CD" w14:textId="3332B34A" w:rsidR="008A64AA" w:rsidRPr="005E0152" w:rsidRDefault="00214FF5" w:rsidP="004E7B85">
      <w:pPr>
        <w:pStyle w:val="303"/>
        <w:tabs>
          <w:tab w:val="left" w:pos="0"/>
          <w:tab w:val="left" w:pos="360"/>
        </w:tabs>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 xml:space="preserve">The main asset of FOSSAL S.A.A. (individual) is the investment in subsidiaries, joint ventures, and associates for S/ 3.83 million, which includes the investment in Fosfatos del Pacifico S.A. in which FOSSAL has a 100%, followed by cash and cash equivalents for S/ 1.58 million.  </w:t>
      </w:r>
    </w:p>
    <w:p w14:paraId="3B14FE17" w14:textId="77777777" w:rsidR="00214FF5" w:rsidRPr="005E0152" w:rsidRDefault="00214FF5" w:rsidP="004E7B85">
      <w:pPr>
        <w:pStyle w:val="303"/>
        <w:tabs>
          <w:tab w:val="left" w:pos="0"/>
          <w:tab w:val="left" w:pos="360"/>
        </w:tabs>
        <w:spacing w:line="276" w:lineRule="auto"/>
        <w:jc w:val="both"/>
        <w:rPr>
          <w:rFonts w:asciiTheme="minorHAnsi" w:hAnsiTheme="minorHAnsi" w:cstheme="minorHAnsi"/>
          <w:sz w:val="24"/>
          <w:szCs w:val="24"/>
        </w:rPr>
      </w:pPr>
    </w:p>
    <w:p w14:paraId="5AD81333" w14:textId="0122E0AC" w:rsidR="009D238A" w:rsidRPr="005E0152" w:rsidRDefault="006964ED" w:rsidP="008A64AA">
      <w:pPr>
        <w:spacing w:line="276" w:lineRule="auto"/>
        <w:jc w:val="both"/>
        <w:rPr>
          <w:rFonts w:asciiTheme="minorHAnsi" w:hAnsiTheme="minorHAnsi" w:cstheme="minorHAnsi"/>
          <w:b/>
          <w:sz w:val="28"/>
          <w:szCs w:val="24"/>
          <w:lang w:val="en-US"/>
        </w:rPr>
      </w:pPr>
      <w:r w:rsidRPr="005E0152">
        <w:rPr>
          <w:rFonts w:asciiTheme="minorHAnsi" w:hAnsiTheme="minorHAnsi" w:cstheme="minorHAnsi"/>
          <w:b/>
          <w:sz w:val="28"/>
          <w:szCs w:val="24"/>
          <w:lang w:val="en-US"/>
        </w:rPr>
        <w:t>S</w:t>
      </w:r>
      <w:r w:rsidR="00214FF5" w:rsidRPr="005E0152">
        <w:rPr>
          <w:rFonts w:asciiTheme="minorHAnsi" w:hAnsiTheme="minorHAnsi" w:cstheme="minorHAnsi"/>
          <w:b/>
          <w:sz w:val="28"/>
          <w:szCs w:val="24"/>
          <w:lang w:val="en-US"/>
        </w:rPr>
        <w:t xml:space="preserve">ection </w:t>
      </w:r>
      <w:r w:rsidRPr="005E0152">
        <w:rPr>
          <w:rFonts w:asciiTheme="minorHAnsi" w:hAnsiTheme="minorHAnsi" w:cstheme="minorHAnsi"/>
          <w:b/>
          <w:sz w:val="28"/>
          <w:szCs w:val="24"/>
          <w:lang w:val="en-US"/>
        </w:rPr>
        <w:t xml:space="preserve">III: </w:t>
      </w:r>
      <w:r w:rsidR="00214FF5" w:rsidRPr="005E0152">
        <w:rPr>
          <w:rFonts w:asciiTheme="minorHAnsi" w:hAnsiTheme="minorHAnsi" w:cstheme="minorHAnsi"/>
          <w:b/>
          <w:sz w:val="28"/>
          <w:szCs w:val="24"/>
          <w:lang w:val="en-US"/>
        </w:rPr>
        <w:t xml:space="preserve">Separate Financial Statemens as December </w:t>
      </w:r>
      <w:r w:rsidR="0088238A" w:rsidRPr="005E0152">
        <w:rPr>
          <w:rFonts w:asciiTheme="minorHAnsi" w:hAnsiTheme="minorHAnsi" w:cstheme="minorHAnsi"/>
          <w:b/>
          <w:sz w:val="28"/>
          <w:szCs w:val="24"/>
          <w:lang w:val="en-US"/>
        </w:rPr>
        <w:t>31</w:t>
      </w:r>
      <w:r w:rsidR="00214FF5" w:rsidRPr="005E0152">
        <w:rPr>
          <w:rFonts w:asciiTheme="minorHAnsi" w:hAnsiTheme="minorHAnsi" w:cstheme="minorHAnsi"/>
          <w:b/>
          <w:sz w:val="28"/>
          <w:szCs w:val="24"/>
          <w:lang w:val="en-US"/>
        </w:rPr>
        <w:t>, 2021 and</w:t>
      </w:r>
      <w:r w:rsidR="0088238A" w:rsidRPr="005E0152">
        <w:rPr>
          <w:rFonts w:asciiTheme="minorHAnsi" w:hAnsiTheme="minorHAnsi" w:cstheme="minorHAnsi"/>
          <w:b/>
          <w:sz w:val="28"/>
          <w:szCs w:val="24"/>
          <w:lang w:val="en-US"/>
        </w:rPr>
        <w:t xml:space="preserve"> 20</w:t>
      </w:r>
      <w:r w:rsidR="00E25E0B" w:rsidRPr="005E0152">
        <w:rPr>
          <w:rFonts w:asciiTheme="minorHAnsi" w:hAnsiTheme="minorHAnsi" w:cstheme="minorHAnsi"/>
          <w:b/>
          <w:sz w:val="28"/>
          <w:szCs w:val="24"/>
          <w:lang w:val="en-US"/>
        </w:rPr>
        <w:t>20</w:t>
      </w:r>
    </w:p>
    <w:p w14:paraId="2E65655E" w14:textId="77777777" w:rsidR="009D238A" w:rsidRPr="005E0152" w:rsidRDefault="009D238A" w:rsidP="008A64AA">
      <w:pPr>
        <w:spacing w:line="276" w:lineRule="auto"/>
        <w:jc w:val="both"/>
        <w:rPr>
          <w:rFonts w:asciiTheme="minorHAnsi" w:hAnsiTheme="minorHAnsi" w:cstheme="minorHAnsi"/>
          <w:b/>
          <w:spacing w:val="20"/>
          <w:sz w:val="26"/>
          <w:szCs w:val="26"/>
          <w:lang w:val="en-US"/>
        </w:rPr>
      </w:pPr>
    </w:p>
    <w:p w14:paraId="02EE98D3" w14:textId="3D1FAF4D" w:rsidR="009D238A" w:rsidRPr="005E0152" w:rsidRDefault="006964ED" w:rsidP="008A64AA">
      <w:pPr>
        <w:pStyle w:val="Textopredeterminado"/>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a) Li</w:t>
      </w:r>
      <w:r w:rsidR="00A866D9" w:rsidRPr="005E0152">
        <w:rPr>
          <w:rFonts w:asciiTheme="minorHAnsi" w:hAnsiTheme="minorHAnsi" w:cstheme="minorHAnsi"/>
          <w:b/>
          <w:szCs w:val="24"/>
          <w:lang w:val="en-US"/>
        </w:rPr>
        <w:t>qui</w:t>
      </w:r>
      <w:r w:rsidR="00460671">
        <w:rPr>
          <w:rFonts w:asciiTheme="minorHAnsi" w:hAnsiTheme="minorHAnsi" w:cstheme="minorHAnsi"/>
          <w:b/>
          <w:szCs w:val="24"/>
          <w:lang w:val="en-US"/>
        </w:rPr>
        <w:t>di</w:t>
      </w:r>
      <w:r w:rsidR="00A866D9" w:rsidRPr="005E0152">
        <w:rPr>
          <w:rFonts w:asciiTheme="minorHAnsi" w:hAnsiTheme="minorHAnsi" w:cstheme="minorHAnsi"/>
          <w:b/>
          <w:szCs w:val="24"/>
          <w:lang w:val="en-US"/>
        </w:rPr>
        <w:t>ty</w:t>
      </w:r>
      <w:r w:rsidRPr="005E0152">
        <w:rPr>
          <w:rFonts w:asciiTheme="minorHAnsi" w:hAnsiTheme="minorHAnsi" w:cstheme="minorHAnsi"/>
          <w:b/>
          <w:szCs w:val="24"/>
          <w:lang w:val="en-US"/>
        </w:rPr>
        <w:t xml:space="preserve">: </w:t>
      </w:r>
    </w:p>
    <w:p w14:paraId="7F277BD6" w14:textId="77777777" w:rsidR="00A866D9" w:rsidRPr="005E0152" w:rsidRDefault="00A866D9" w:rsidP="00A866D9">
      <w:pPr>
        <w:autoSpaceDE w:val="0"/>
        <w:autoSpaceDN w:val="0"/>
        <w:adjustRightInd w:val="0"/>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The treasury management policy is based on the principle of prudence and is focused on complying with the current obligations of the Company, mainly: i) administrative services and ii) capital contribution plan to subsidiary Fosfatos del Pacífico S.A.</w:t>
      </w:r>
    </w:p>
    <w:p w14:paraId="69D3A670" w14:textId="77777777" w:rsidR="009D238A" w:rsidRPr="005E0152" w:rsidRDefault="009D238A" w:rsidP="008A64AA">
      <w:pPr>
        <w:autoSpaceDE w:val="0"/>
        <w:autoSpaceDN w:val="0"/>
        <w:adjustRightInd w:val="0"/>
        <w:spacing w:line="276" w:lineRule="auto"/>
        <w:jc w:val="both"/>
        <w:rPr>
          <w:rFonts w:asciiTheme="minorHAnsi" w:hAnsiTheme="minorHAnsi" w:cstheme="minorHAnsi"/>
          <w:szCs w:val="24"/>
          <w:lang w:val="en-US"/>
        </w:rPr>
      </w:pPr>
    </w:p>
    <w:tbl>
      <w:tblPr>
        <w:tblW w:w="0" w:type="auto"/>
        <w:tblInd w:w="684" w:type="dxa"/>
        <w:tblBorders>
          <w:left w:val="double" w:sz="8" w:space="0" w:color="000000"/>
          <w:insideV w:val="double" w:sz="8" w:space="0" w:color="000000"/>
        </w:tblBorders>
        <w:tblLayout w:type="fixed"/>
        <w:tblLook w:val="0000" w:firstRow="0" w:lastRow="0" w:firstColumn="0" w:lastColumn="0" w:noHBand="0" w:noVBand="0"/>
      </w:tblPr>
      <w:tblGrid>
        <w:gridCol w:w="5524"/>
        <w:gridCol w:w="1134"/>
        <w:gridCol w:w="1134"/>
      </w:tblGrid>
      <w:tr w:rsidR="004C5A26" w:rsidRPr="005E0152" w14:paraId="24108E3D" w14:textId="77777777" w:rsidTr="009B1D2A">
        <w:trPr>
          <w:trHeight w:val="298"/>
        </w:trPr>
        <w:tc>
          <w:tcPr>
            <w:tcW w:w="5524" w:type="dxa"/>
            <w:tcBorders>
              <w:top w:val="double" w:sz="8" w:space="0" w:color="000000"/>
              <w:bottom w:val="nil"/>
              <w:right w:val="single" w:sz="8" w:space="0" w:color="000000"/>
            </w:tcBorders>
            <w:shd w:val="clear" w:color="auto" w:fill="A6A6A6" w:themeFill="background1" w:themeFillShade="A6"/>
          </w:tcPr>
          <w:p w14:paraId="77A4F971" w14:textId="2A6ACA31" w:rsidR="009D238A" w:rsidRPr="005E0152" w:rsidRDefault="00460671" w:rsidP="008A64AA">
            <w:pPr>
              <w:pStyle w:val="Textopredeterminado"/>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heme="minorHAnsi" w:hAnsiTheme="minorHAnsi" w:cstheme="minorHAnsi"/>
                <w:szCs w:val="24"/>
                <w:lang w:val="en-US"/>
              </w:rPr>
            </w:pPr>
            <w:r>
              <w:rPr>
                <w:rFonts w:asciiTheme="minorHAnsi" w:hAnsiTheme="minorHAnsi" w:cstheme="minorHAnsi"/>
                <w:b/>
                <w:szCs w:val="24"/>
                <w:lang w:val="en-US"/>
              </w:rPr>
              <w:t>Liquidity Ratios</w:t>
            </w:r>
          </w:p>
        </w:tc>
        <w:tc>
          <w:tcPr>
            <w:tcW w:w="1134" w:type="dxa"/>
            <w:tcBorders>
              <w:top w:val="double" w:sz="8" w:space="0" w:color="000000"/>
              <w:bottom w:val="nil"/>
              <w:right w:val="single" w:sz="8" w:space="0" w:color="000000"/>
            </w:tcBorders>
            <w:shd w:val="clear" w:color="auto" w:fill="A6A6A6" w:themeFill="background1" w:themeFillShade="A6"/>
          </w:tcPr>
          <w:p w14:paraId="0F024D54" w14:textId="160216A8" w:rsidR="009D238A" w:rsidRPr="005E0152" w:rsidRDefault="00842369" w:rsidP="008A64AA">
            <w:pPr>
              <w:pStyle w:val="Textopredeterminado"/>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202</w:t>
            </w:r>
            <w:r w:rsidR="00E25E0B" w:rsidRPr="005E0152">
              <w:rPr>
                <w:rFonts w:asciiTheme="minorHAnsi" w:hAnsiTheme="minorHAnsi" w:cstheme="minorHAnsi"/>
                <w:b/>
                <w:szCs w:val="24"/>
                <w:lang w:val="en-US"/>
              </w:rPr>
              <w:t>1</w:t>
            </w:r>
          </w:p>
        </w:tc>
        <w:tc>
          <w:tcPr>
            <w:tcW w:w="1134" w:type="dxa"/>
            <w:tcBorders>
              <w:top w:val="double" w:sz="8" w:space="0" w:color="000000"/>
              <w:left w:val="single" w:sz="8" w:space="0" w:color="000000"/>
              <w:bottom w:val="nil"/>
              <w:right w:val="single" w:sz="8" w:space="0" w:color="000000"/>
            </w:tcBorders>
            <w:shd w:val="clear" w:color="auto" w:fill="A6A6A6" w:themeFill="background1" w:themeFillShade="A6"/>
          </w:tcPr>
          <w:p w14:paraId="665D4AEF" w14:textId="4AA9794E" w:rsidR="009D238A" w:rsidRPr="005E0152" w:rsidRDefault="004C5A26" w:rsidP="008A64AA">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b/>
                <w:szCs w:val="24"/>
                <w:lang w:val="en-US"/>
              </w:rPr>
              <w:t>20</w:t>
            </w:r>
            <w:r w:rsidR="00E25E0B" w:rsidRPr="005E0152">
              <w:rPr>
                <w:rFonts w:asciiTheme="minorHAnsi" w:hAnsiTheme="minorHAnsi" w:cstheme="minorHAnsi"/>
                <w:b/>
                <w:szCs w:val="24"/>
                <w:lang w:val="en-US"/>
              </w:rPr>
              <w:t>20</w:t>
            </w:r>
          </w:p>
        </w:tc>
      </w:tr>
      <w:tr w:rsidR="004C5A26" w:rsidRPr="005E0152" w14:paraId="1FE1363D" w14:textId="77777777" w:rsidTr="009B1D2A">
        <w:trPr>
          <w:trHeight w:val="298"/>
        </w:trPr>
        <w:tc>
          <w:tcPr>
            <w:tcW w:w="5524" w:type="dxa"/>
            <w:tcBorders>
              <w:top w:val="single" w:sz="8" w:space="0" w:color="000000"/>
              <w:left w:val="double" w:sz="2" w:space="0" w:color="000000"/>
              <w:bottom w:val="double" w:sz="2" w:space="0" w:color="000000"/>
              <w:right w:val="single" w:sz="8" w:space="0" w:color="000000"/>
            </w:tcBorders>
          </w:tcPr>
          <w:p w14:paraId="2A2D84B7" w14:textId="14DC9827" w:rsidR="004C5A26" w:rsidRPr="005E0152" w:rsidRDefault="00A866D9" w:rsidP="00A866D9">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Current Ratio</w:t>
            </w:r>
            <w:r w:rsidR="004C5A26" w:rsidRPr="005E0152">
              <w:rPr>
                <w:rFonts w:asciiTheme="minorHAnsi" w:hAnsiTheme="minorHAnsi" w:cstheme="minorHAnsi"/>
                <w:szCs w:val="24"/>
                <w:lang w:val="en-US"/>
              </w:rPr>
              <w:t xml:space="preserve">  (</w:t>
            </w:r>
            <w:r w:rsidRPr="005E0152">
              <w:rPr>
                <w:rFonts w:asciiTheme="minorHAnsi" w:hAnsiTheme="minorHAnsi" w:cstheme="minorHAnsi"/>
                <w:szCs w:val="24"/>
                <w:lang w:val="en-US"/>
              </w:rPr>
              <w:t>Current Assets</w:t>
            </w:r>
            <w:r w:rsidR="004C5A26" w:rsidRPr="005E0152">
              <w:rPr>
                <w:rFonts w:asciiTheme="minorHAnsi" w:hAnsiTheme="minorHAnsi" w:cstheme="minorHAnsi"/>
                <w:szCs w:val="24"/>
                <w:lang w:val="en-US"/>
              </w:rPr>
              <w:t xml:space="preserve"> / </w:t>
            </w:r>
            <w:r w:rsidRPr="005E0152">
              <w:rPr>
                <w:rFonts w:asciiTheme="minorHAnsi" w:hAnsiTheme="minorHAnsi" w:cstheme="minorHAnsi"/>
                <w:szCs w:val="24"/>
                <w:lang w:val="en-US"/>
              </w:rPr>
              <w:t>Current Liabilities</w:t>
            </w:r>
            <w:r w:rsidR="004C5A26" w:rsidRPr="005E0152">
              <w:rPr>
                <w:rFonts w:asciiTheme="minorHAnsi" w:hAnsiTheme="minorHAnsi" w:cstheme="minorHAnsi"/>
                <w:szCs w:val="24"/>
                <w:lang w:val="en-US"/>
              </w:rPr>
              <w:t>)</w:t>
            </w:r>
          </w:p>
        </w:tc>
        <w:tc>
          <w:tcPr>
            <w:tcW w:w="1134" w:type="dxa"/>
            <w:tcBorders>
              <w:top w:val="single" w:sz="8" w:space="0" w:color="000000"/>
              <w:left w:val="single" w:sz="8" w:space="0" w:color="000000"/>
              <w:bottom w:val="double" w:sz="2" w:space="0" w:color="000000"/>
              <w:right w:val="single" w:sz="8" w:space="0" w:color="000000"/>
            </w:tcBorders>
          </w:tcPr>
          <w:p w14:paraId="2F49300E" w14:textId="279E082C" w:rsidR="004C5A26" w:rsidRPr="005E0152" w:rsidRDefault="00D923C5" w:rsidP="008E23AC">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58</w:t>
            </w:r>
            <w:r w:rsidR="00C55E18" w:rsidRPr="005E0152">
              <w:rPr>
                <w:rFonts w:asciiTheme="minorHAnsi" w:hAnsiTheme="minorHAnsi" w:cstheme="minorHAnsi"/>
                <w:szCs w:val="24"/>
                <w:lang w:val="en-US"/>
              </w:rPr>
              <w:t>.</w:t>
            </w:r>
            <w:r w:rsidRPr="005E0152">
              <w:rPr>
                <w:rFonts w:asciiTheme="minorHAnsi" w:hAnsiTheme="minorHAnsi" w:cstheme="minorHAnsi"/>
                <w:szCs w:val="24"/>
                <w:lang w:val="en-US"/>
              </w:rPr>
              <w:t>37</w:t>
            </w:r>
          </w:p>
        </w:tc>
        <w:tc>
          <w:tcPr>
            <w:tcW w:w="1134" w:type="dxa"/>
            <w:tcBorders>
              <w:top w:val="single" w:sz="8" w:space="0" w:color="000000"/>
              <w:left w:val="single" w:sz="8" w:space="0" w:color="000000"/>
              <w:bottom w:val="double" w:sz="2" w:space="0" w:color="000000"/>
              <w:right w:val="single" w:sz="8" w:space="0" w:color="000000"/>
            </w:tcBorders>
          </w:tcPr>
          <w:p w14:paraId="25C55F2E" w14:textId="4C75FE8B" w:rsidR="00886FE9" w:rsidRPr="005E0152" w:rsidRDefault="00E25E0B" w:rsidP="008E23AC">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86.49</w:t>
            </w:r>
          </w:p>
        </w:tc>
      </w:tr>
    </w:tbl>
    <w:p w14:paraId="1DEA836D" w14:textId="77777777" w:rsidR="009D238A" w:rsidRPr="005E0152" w:rsidRDefault="009D238A" w:rsidP="008A64AA">
      <w:pPr>
        <w:pStyle w:val="Textopredeterminado"/>
        <w:spacing w:line="276" w:lineRule="auto"/>
        <w:jc w:val="both"/>
        <w:rPr>
          <w:rFonts w:asciiTheme="minorHAnsi" w:hAnsiTheme="minorHAnsi" w:cstheme="minorHAnsi"/>
          <w:szCs w:val="24"/>
          <w:lang w:val="en-US"/>
        </w:rPr>
      </w:pPr>
    </w:p>
    <w:p w14:paraId="2A8E7212" w14:textId="31C05201" w:rsidR="00A866D9" w:rsidRPr="005E0152" w:rsidRDefault="00901A54" w:rsidP="008A64AA">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 xml:space="preserve">As of December 31, 2021, liquidity indicators have decreased concerning the 2020 financial statements due to a reduction in current assets due to the use of cash to make the capital contribution to the subsidiary.  </w:t>
      </w:r>
    </w:p>
    <w:p w14:paraId="21FD5CBD" w14:textId="77777777" w:rsidR="009D238A" w:rsidRPr="005E0152" w:rsidRDefault="009D238A" w:rsidP="008A64AA">
      <w:pPr>
        <w:pStyle w:val="Textopredeterminado"/>
        <w:spacing w:line="276" w:lineRule="auto"/>
        <w:jc w:val="both"/>
        <w:rPr>
          <w:rFonts w:asciiTheme="minorHAnsi" w:hAnsiTheme="minorHAnsi" w:cstheme="minorHAnsi"/>
          <w:b/>
          <w:szCs w:val="24"/>
          <w:lang w:val="en-US"/>
        </w:rPr>
      </w:pPr>
    </w:p>
    <w:p w14:paraId="0FDB8519" w14:textId="3FABE8E5" w:rsidR="009D238A" w:rsidRPr="005E0152" w:rsidRDefault="006964ED" w:rsidP="008A64AA">
      <w:pPr>
        <w:pStyle w:val="Textopredeterminado"/>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 xml:space="preserve">b) </w:t>
      </w:r>
      <w:r w:rsidR="00901A54" w:rsidRPr="005E0152">
        <w:rPr>
          <w:rFonts w:asciiTheme="minorHAnsi" w:hAnsiTheme="minorHAnsi" w:cstheme="minorHAnsi"/>
          <w:b/>
          <w:szCs w:val="24"/>
          <w:lang w:val="en-US"/>
        </w:rPr>
        <w:t>Capital and Financing</w:t>
      </w:r>
      <w:r w:rsidRPr="005E0152">
        <w:rPr>
          <w:rFonts w:asciiTheme="minorHAnsi" w:hAnsiTheme="minorHAnsi" w:cstheme="minorHAnsi"/>
          <w:b/>
          <w:szCs w:val="24"/>
          <w:lang w:val="en-US"/>
        </w:rPr>
        <w:t>:</w:t>
      </w:r>
    </w:p>
    <w:p w14:paraId="738DB9AA" w14:textId="77777777" w:rsidR="009D238A" w:rsidRPr="005E0152" w:rsidRDefault="009D238A" w:rsidP="008A64AA">
      <w:pPr>
        <w:pStyle w:val="Textopredeterminado"/>
        <w:spacing w:line="276" w:lineRule="auto"/>
        <w:jc w:val="both"/>
        <w:rPr>
          <w:rFonts w:asciiTheme="minorHAnsi" w:hAnsiTheme="minorHAnsi" w:cstheme="minorHAnsi"/>
          <w:b/>
          <w:szCs w:val="24"/>
          <w:lang w:val="en-US"/>
        </w:rPr>
      </w:pPr>
    </w:p>
    <w:p w14:paraId="687BDA91" w14:textId="2A89DE9B" w:rsidR="00901A54" w:rsidRDefault="00901A54" w:rsidP="008A64AA">
      <w:pPr>
        <w:autoSpaceDE w:val="0"/>
        <w:autoSpaceDN w:val="0"/>
        <w:adjustRightInd w:val="0"/>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The Company's future investment is directly related to the investment of its subsidiary Fosfatos del Pacífico S.A., in the Phosphate project, which will depend on the situation of the phosphate rock market and the obtaining of the corresponding financing in the appropriate terms for said project. Within the framework of a policy of prudence in the use of financial resources this year, Management is evaluating both critical factors for the Phosphates project.</w:t>
      </w:r>
    </w:p>
    <w:p w14:paraId="062DB1E9" w14:textId="48B2B9C7" w:rsidR="005E0152" w:rsidRDefault="005E0152" w:rsidP="008A64AA">
      <w:pPr>
        <w:autoSpaceDE w:val="0"/>
        <w:autoSpaceDN w:val="0"/>
        <w:adjustRightInd w:val="0"/>
        <w:spacing w:line="276" w:lineRule="auto"/>
        <w:jc w:val="both"/>
        <w:rPr>
          <w:rFonts w:asciiTheme="minorHAnsi" w:hAnsiTheme="minorHAnsi" w:cstheme="minorHAnsi"/>
          <w:szCs w:val="24"/>
          <w:lang w:val="en-US"/>
        </w:rPr>
      </w:pPr>
    </w:p>
    <w:p w14:paraId="08432A5F" w14:textId="77777777" w:rsidR="009D238A" w:rsidRPr="005E0152" w:rsidRDefault="009D238A" w:rsidP="008A64AA">
      <w:pPr>
        <w:autoSpaceDE w:val="0"/>
        <w:autoSpaceDN w:val="0"/>
        <w:adjustRightInd w:val="0"/>
        <w:spacing w:line="276" w:lineRule="auto"/>
        <w:jc w:val="both"/>
        <w:rPr>
          <w:rFonts w:asciiTheme="minorHAnsi" w:hAnsiTheme="minorHAnsi" w:cstheme="minorHAnsi"/>
          <w:szCs w:val="24"/>
          <w:lang w:val="en-US"/>
        </w:rPr>
      </w:pPr>
    </w:p>
    <w:tbl>
      <w:tblPr>
        <w:tblW w:w="8158" w:type="dxa"/>
        <w:tblInd w:w="675" w:type="dxa"/>
        <w:tblBorders>
          <w:left w:val="double" w:sz="8" w:space="0" w:color="000000"/>
          <w:insideV w:val="double" w:sz="8" w:space="0" w:color="000000"/>
        </w:tblBorders>
        <w:tblLayout w:type="fixed"/>
        <w:tblLook w:val="0000" w:firstRow="0" w:lastRow="0" w:firstColumn="0" w:lastColumn="0" w:noHBand="0" w:noVBand="0"/>
      </w:tblPr>
      <w:tblGrid>
        <w:gridCol w:w="5890"/>
        <w:gridCol w:w="1134"/>
        <w:gridCol w:w="1134"/>
      </w:tblGrid>
      <w:tr w:rsidR="004C5A26" w:rsidRPr="005E0152" w14:paraId="1F21B51A" w14:textId="77777777" w:rsidTr="00C85A36">
        <w:trPr>
          <w:trHeight w:val="298"/>
        </w:trPr>
        <w:tc>
          <w:tcPr>
            <w:tcW w:w="5890" w:type="dxa"/>
            <w:tcBorders>
              <w:top w:val="double" w:sz="8" w:space="0" w:color="000000"/>
              <w:bottom w:val="single" w:sz="8" w:space="0" w:color="000000"/>
              <w:right w:val="single" w:sz="8" w:space="0" w:color="000000"/>
            </w:tcBorders>
            <w:shd w:val="clear" w:color="auto" w:fill="A6A6A6" w:themeFill="background1" w:themeFillShade="A6"/>
            <w:vAlign w:val="center"/>
          </w:tcPr>
          <w:p w14:paraId="13BD4685" w14:textId="047659AB" w:rsidR="004C5A26" w:rsidRPr="005E0152" w:rsidRDefault="00901A54" w:rsidP="00901A54">
            <w:pPr>
              <w:pStyle w:val="Textopredeterminado"/>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Debt to Assets Ratios</w:t>
            </w:r>
          </w:p>
        </w:tc>
        <w:tc>
          <w:tcPr>
            <w:tcW w:w="1134" w:type="dxa"/>
            <w:tcBorders>
              <w:top w:val="double" w:sz="8" w:space="0" w:color="000000"/>
              <w:bottom w:val="single" w:sz="8" w:space="0" w:color="000000"/>
              <w:right w:val="single" w:sz="8" w:space="0" w:color="000000"/>
            </w:tcBorders>
            <w:shd w:val="clear" w:color="auto" w:fill="A6A6A6" w:themeFill="background1" w:themeFillShade="A6"/>
          </w:tcPr>
          <w:p w14:paraId="5F472525" w14:textId="0DE5E2F4" w:rsidR="004C5A26" w:rsidRPr="005E0152" w:rsidRDefault="00E60183" w:rsidP="0078530A">
            <w:pPr>
              <w:pStyle w:val="Textopredeterminado"/>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202</w:t>
            </w:r>
            <w:r w:rsidR="00E25E0B" w:rsidRPr="005E0152">
              <w:rPr>
                <w:rFonts w:asciiTheme="minorHAnsi" w:hAnsiTheme="minorHAnsi" w:cstheme="minorHAnsi"/>
                <w:b/>
                <w:szCs w:val="24"/>
                <w:lang w:val="en-US"/>
              </w:rPr>
              <w:t>1</w:t>
            </w:r>
          </w:p>
        </w:tc>
        <w:tc>
          <w:tcPr>
            <w:tcW w:w="1134" w:type="dxa"/>
            <w:tcBorders>
              <w:top w:val="double" w:sz="8" w:space="0" w:color="000000"/>
              <w:left w:val="single" w:sz="8" w:space="0" w:color="000000"/>
              <w:bottom w:val="single" w:sz="8" w:space="0" w:color="000000"/>
              <w:right w:val="single" w:sz="8" w:space="0" w:color="000000"/>
            </w:tcBorders>
            <w:shd w:val="clear" w:color="auto" w:fill="A6A6A6" w:themeFill="background1" w:themeFillShade="A6"/>
          </w:tcPr>
          <w:p w14:paraId="4768EB8F" w14:textId="77C5D3A8" w:rsidR="004C5A26" w:rsidRPr="005E0152" w:rsidRDefault="004C5A26" w:rsidP="0078530A">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b/>
                <w:szCs w:val="24"/>
                <w:lang w:val="en-US"/>
              </w:rPr>
              <w:t>20</w:t>
            </w:r>
            <w:r w:rsidR="00E25E0B" w:rsidRPr="005E0152">
              <w:rPr>
                <w:rFonts w:asciiTheme="minorHAnsi" w:hAnsiTheme="minorHAnsi" w:cstheme="minorHAnsi"/>
                <w:b/>
                <w:szCs w:val="24"/>
                <w:lang w:val="en-US"/>
              </w:rPr>
              <w:t>20</w:t>
            </w:r>
          </w:p>
        </w:tc>
      </w:tr>
      <w:tr w:rsidR="004C5A26" w:rsidRPr="005E0152" w14:paraId="35296F17" w14:textId="77777777" w:rsidTr="00C85A36">
        <w:trPr>
          <w:trHeight w:val="298"/>
        </w:trPr>
        <w:tc>
          <w:tcPr>
            <w:tcW w:w="5890" w:type="dxa"/>
            <w:tcBorders>
              <w:top w:val="single" w:sz="8" w:space="0" w:color="000000"/>
              <w:bottom w:val="single" w:sz="8" w:space="0" w:color="000000"/>
              <w:right w:val="single" w:sz="8" w:space="0" w:color="000000"/>
            </w:tcBorders>
          </w:tcPr>
          <w:p w14:paraId="6B2D6C5A" w14:textId="6AC82B9A" w:rsidR="004C5A26" w:rsidRPr="005E0152" w:rsidRDefault="004C5A26" w:rsidP="00901A54">
            <w:pPr>
              <w:pStyle w:val="Textopredeterminado"/>
              <w:spacing w:line="276" w:lineRule="auto"/>
              <w:jc w:val="both"/>
              <w:rPr>
                <w:rFonts w:asciiTheme="minorHAnsi" w:hAnsiTheme="minorHAnsi" w:cstheme="minorHAnsi"/>
                <w:b/>
                <w:szCs w:val="24"/>
                <w:lang w:val="en-US"/>
              </w:rPr>
            </w:pPr>
            <w:r w:rsidRPr="005E0152">
              <w:rPr>
                <w:rFonts w:asciiTheme="minorHAnsi" w:hAnsiTheme="minorHAnsi" w:cstheme="minorHAnsi"/>
                <w:szCs w:val="24"/>
                <w:lang w:val="en-US"/>
              </w:rPr>
              <w:t xml:space="preserve">Total </w:t>
            </w:r>
            <w:r w:rsidR="00901A54" w:rsidRPr="005E0152">
              <w:rPr>
                <w:rFonts w:asciiTheme="minorHAnsi" w:hAnsiTheme="minorHAnsi" w:cstheme="minorHAnsi"/>
                <w:szCs w:val="24"/>
                <w:lang w:val="en-US"/>
              </w:rPr>
              <w:t>Liabilities</w:t>
            </w:r>
            <w:r w:rsidRPr="005E0152">
              <w:rPr>
                <w:rFonts w:asciiTheme="minorHAnsi" w:hAnsiTheme="minorHAnsi" w:cstheme="minorHAnsi"/>
                <w:szCs w:val="24"/>
                <w:lang w:val="en-US"/>
              </w:rPr>
              <w:t xml:space="preserve"> / Total </w:t>
            </w:r>
            <w:r w:rsidR="00901A54" w:rsidRPr="005E0152">
              <w:rPr>
                <w:rFonts w:asciiTheme="minorHAnsi" w:hAnsiTheme="minorHAnsi" w:cstheme="minorHAnsi"/>
                <w:szCs w:val="24"/>
                <w:lang w:val="en-US"/>
              </w:rPr>
              <w:t>Assets</w:t>
            </w:r>
          </w:p>
        </w:tc>
        <w:tc>
          <w:tcPr>
            <w:tcW w:w="1134" w:type="dxa"/>
            <w:tcBorders>
              <w:top w:val="single" w:sz="8" w:space="0" w:color="000000"/>
              <w:bottom w:val="single" w:sz="8" w:space="0" w:color="000000"/>
              <w:right w:val="single" w:sz="8" w:space="0" w:color="000000"/>
            </w:tcBorders>
          </w:tcPr>
          <w:p w14:paraId="48A2A498" w14:textId="68376F6E" w:rsidR="00886FE9" w:rsidRPr="005E0152" w:rsidRDefault="004C5A26" w:rsidP="0078530A">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0.</w:t>
            </w:r>
            <w:r w:rsidR="00716F63" w:rsidRPr="005E0152">
              <w:rPr>
                <w:rFonts w:asciiTheme="minorHAnsi" w:hAnsiTheme="minorHAnsi" w:cstheme="minorHAnsi"/>
                <w:szCs w:val="24"/>
                <w:lang w:val="en-US"/>
              </w:rPr>
              <w:t>00</w:t>
            </w:r>
            <w:r w:rsidR="00370AA8" w:rsidRPr="005E0152">
              <w:rPr>
                <w:rFonts w:asciiTheme="minorHAnsi" w:hAnsiTheme="minorHAnsi" w:cstheme="minorHAnsi"/>
                <w:szCs w:val="24"/>
                <w:lang w:val="en-US"/>
              </w:rPr>
              <w:t>5</w:t>
            </w:r>
          </w:p>
        </w:tc>
        <w:tc>
          <w:tcPr>
            <w:tcW w:w="1134" w:type="dxa"/>
            <w:tcBorders>
              <w:top w:val="single" w:sz="8" w:space="0" w:color="000000"/>
              <w:left w:val="single" w:sz="8" w:space="0" w:color="000000"/>
              <w:bottom w:val="single" w:sz="8" w:space="0" w:color="000000"/>
              <w:right w:val="single" w:sz="8" w:space="0" w:color="000000"/>
            </w:tcBorders>
          </w:tcPr>
          <w:p w14:paraId="22912447" w14:textId="68F190C0" w:rsidR="004C5A26" w:rsidRPr="005E0152" w:rsidRDefault="00716F63" w:rsidP="0078530A">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0.00</w:t>
            </w:r>
            <w:r w:rsidR="00E25E0B" w:rsidRPr="005E0152">
              <w:rPr>
                <w:rFonts w:asciiTheme="minorHAnsi" w:hAnsiTheme="minorHAnsi" w:cstheme="minorHAnsi"/>
                <w:szCs w:val="24"/>
                <w:lang w:val="en-US"/>
              </w:rPr>
              <w:t>8</w:t>
            </w:r>
          </w:p>
        </w:tc>
      </w:tr>
      <w:tr w:rsidR="004C5A26" w:rsidRPr="005E0152" w14:paraId="06788CDB" w14:textId="77777777" w:rsidTr="00C85A36">
        <w:trPr>
          <w:trHeight w:val="298"/>
        </w:trPr>
        <w:tc>
          <w:tcPr>
            <w:tcW w:w="5890" w:type="dxa"/>
            <w:tcBorders>
              <w:top w:val="single" w:sz="8" w:space="0" w:color="000000"/>
              <w:bottom w:val="double" w:sz="8" w:space="0" w:color="000000"/>
              <w:right w:val="single" w:sz="8" w:space="0" w:color="000000"/>
            </w:tcBorders>
          </w:tcPr>
          <w:p w14:paraId="1197A125" w14:textId="7B93CC40" w:rsidR="004C5A26" w:rsidRPr="005E0152" w:rsidRDefault="004C5A26" w:rsidP="00901A54">
            <w:pPr>
              <w:pStyle w:val="Textopredeterminado"/>
              <w:spacing w:line="276" w:lineRule="auto"/>
              <w:jc w:val="both"/>
              <w:rPr>
                <w:rFonts w:asciiTheme="minorHAnsi" w:hAnsiTheme="minorHAnsi" w:cstheme="minorHAnsi"/>
                <w:b/>
                <w:szCs w:val="24"/>
                <w:lang w:val="en-US"/>
              </w:rPr>
            </w:pPr>
            <w:r w:rsidRPr="005E0152">
              <w:rPr>
                <w:rFonts w:asciiTheme="minorHAnsi" w:hAnsiTheme="minorHAnsi" w:cstheme="minorHAnsi"/>
                <w:szCs w:val="24"/>
                <w:lang w:val="en-US"/>
              </w:rPr>
              <w:t xml:space="preserve">Total </w:t>
            </w:r>
            <w:r w:rsidR="00901A54" w:rsidRPr="005E0152">
              <w:rPr>
                <w:rFonts w:asciiTheme="minorHAnsi" w:hAnsiTheme="minorHAnsi" w:cstheme="minorHAnsi"/>
                <w:szCs w:val="24"/>
                <w:lang w:val="en-US"/>
              </w:rPr>
              <w:t xml:space="preserve">Shareholder Net Equity </w:t>
            </w:r>
            <w:r w:rsidRPr="005E0152">
              <w:rPr>
                <w:rFonts w:asciiTheme="minorHAnsi" w:hAnsiTheme="minorHAnsi" w:cstheme="minorHAnsi"/>
                <w:szCs w:val="24"/>
                <w:lang w:val="en-US"/>
              </w:rPr>
              <w:t xml:space="preserve"> / Total </w:t>
            </w:r>
            <w:r w:rsidR="00901A54" w:rsidRPr="005E0152">
              <w:rPr>
                <w:rFonts w:asciiTheme="minorHAnsi" w:hAnsiTheme="minorHAnsi" w:cstheme="minorHAnsi"/>
                <w:szCs w:val="24"/>
                <w:lang w:val="en-US"/>
              </w:rPr>
              <w:t>Assets</w:t>
            </w:r>
          </w:p>
        </w:tc>
        <w:tc>
          <w:tcPr>
            <w:tcW w:w="1134" w:type="dxa"/>
            <w:tcBorders>
              <w:top w:val="single" w:sz="8" w:space="0" w:color="000000"/>
              <w:bottom w:val="double" w:sz="8" w:space="0" w:color="000000"/>
              <w:right w:val="single" w:sz="8" w:space="0" w:color="000000"/>
            </w:tcBorders>
          </w:tcPr>
          <w:p w14:paraId="010DCF7A" w14:textId="709465AA" w:rsidR="00886FE9" w:rsidRPr="005E0152" w:rsidRDefault="003939AD">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0</w:t>
            </w:r>
            <w:r w:rsidR="00370AA8" w:rsidRPr="005E0152">
              <w:rPr>
                <w:rFonts w:asciiTheme="minorHAnsi" w:hAnsiTheme="minorHAnsi" w:cstheme="minorHAnsi"/>
                <w:szCs w:val="24"/>
                <w:lang w:val="en-US"/>
              </w:rPr>
              <w:t>.</w:t>
            </w:r>
            <w:r w:rsidRPr="005E0152">
              <w:rPr>
                <w:rFonts w:asciiTheme="minorHAnsi" w:hAnsiTheme="minorHAnsi" w:cstheme="minorHAnsi"/>
                <w:szCs w:val="24"/>
                <w:lang w:val="en-US"/>
              </w:rPr>
              <w:t>995</w:t>
            </w:r>
          </w:p>
        </w:tc>
        <w:tc>
          <w:tcPr>
            <w:tcW w:w="1134" w:type="dxa"/>
            <w:tcBorders>
              <w:top w:val="single" w:sz="8" w:space="0" w:color="000000"/>
              <w:left w:val="single" w:sz="8" w:space="0" w:color="000000"/>
              <w:bottom w:val="double" w:sz="8" w:space="0" w:color="000000"/>
              <w:right w:val="single" w:sz="8" w:space="0" w:color="000000"/>
            </w:tcBorders>
          </w:tcPr>
          <w:p w14:paraId="09DD364B" w14:textId="78AAEDE2" w:rsidR="004C5A26" w:rsidRPr="005E0152" w:rsidRDefault="00716F63">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0.99</w:t>
            </w:r>
            <w:r w:rsidR="00E25E0B" w:rsidRPr="005E0152">
              <w:rPr>
                <w:rFonts w:asciiTheme="minorHAnsi" w:hAnsiTheme="minorHAnsi" w:cstheme="minorHAnsi"/>
                <w:szCs w:val="24"/>
                <w:lang w:val="en-US"/>
              </w:rPr>
              <w:t>2</w:t>
            </w:r>
          </w:p>
        </w:tc>
      </w:tr>
    </w:tbl>
    <w:p w14:paraId="59C04F9D" w14:textId="77777777" w:rsidR="009D238A" w:rsidRPr="005E0152" w:rsidRDefault="009D238A" w:rsidP="008A64AA">
      <w:pPr>
        <w:pStyle w:val="Textopredeterminado"/>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heme="minorHAnsi" w:hAnsiTheme="minorHAnsi" w:cstheme="minorHAnsi"/>
          <w:szCs w:val="24"/>
          <w:lang w:val="en-US"/>
        </w:rPr>
      </w:pPr>
    </w:p>
    <w:p w14:paraId="77FD4AD5" w14:textId="74375796" w:rsidR="00901A54" w:rsidRPr="005E0152" w:rsidRDefault="00901A54" w:rsidP="00901A54">
      <w:pPr>
        <w:pStyle w:val="Textopredeterminado"/>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The financing indicators remain stable as of December 31, 202</w:t>
      </w:r>
      <w:r w:rsidRPr="005E0152">
        <w:rPr>
          <w:rFonts w:asciiTheme="minorHAnsi" w:hAnsiTheme="minorHAnsi" w:cstheme="minorHAnsi"/>
          <w:szCs w:val="24"/>
          <w:lang w:val="en-US"/>
        </w:rPr>
        <w:t>1</w:t>
      </w:r>
      <w:r w:rsidRPr="005E0152">
        <w:rPr>
          <w:rFonts w:asciiTheme="minorHAnsi" w:hAnsiTheme="minorHAnsi" w:cstheme="minorHAnsi"/>
          <w:szCs w:val="24"/>
          <w:lang w:val="en-US"/>
        </w:rPr>
        <w:t xml:space="preserve"> regarding financial information as of December 31, 20</w:t>
      </w:r>
      <w:r w:rsidRPr="005E0152">
        <w:rPr>
          <w:rFonts w:asciiTheme="minorHAnsi" w:hAnsiTheme="minorHAnsi" w:cstheme="minorHAnsi"/>
          <w:szCs w:val="24"/>
          <w:lang w:val="en-US"/>
        </w:rPr>
        <w:t>20</w:t>
      </w:r>
      <w:r w:rsidRPr="005E0152">
        <w:rPr>
          <w:rFonts w:asciiTheme="minorHAnsi" w:hAnsiTheme="minorHAnsi" w:cstheme="minorHAnsi"/>
          <w:szCs w:val="24"/>
          <w:lang w:val="en-US"/>
        </w:rPr>
        <w:t>.</w:t>
      </w:r>
    </w:p>
    <w:p w14:paraId="41483653" w14:textId="77777777" w:rsidR="00AB792E" w:rsidRPr="005E0152" w:rsidRDefault="00AB792E" w:rsidP="008A64AA">
      <w:pPr>
        <w:pStyle w:val="Textopredeterminado"/>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heme="minorHAnsi" w:hAnsiTheme="minorHAnsi" w:cstheme="minorHAnsi"/>
          <w:szCs w:val="24"/>
          <w:lang w:val="en-US"/>
        </w:rPr>
      </w:pPr>
    </w:p>
    <w:p w14:paraId="0A58E1B3" w14:textId="40493A81" w:rsidR="009D238A" w:rsidRPr="005E0152" w:rsidRDefault="008A2DE4" w:rsidP="008A64AA">
      <w:pPr>
        <w:pStyle w:val="Textopredeterminado"/>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c) Economic Results</w:t>
      </w:r>
    </w:p>
    <w:p w14:paraId="0ED757D0" w14:textId="77777777" w:rsidR="009D238A" w:rsidRPr="005E0152" w:rsidRDefault="009D238A" w:rsidP="000005A0">
      <w:pPr>
        <w:pStyle w:val="Textopredeterminado"/>
        <w:spacing w:line="276" w:lineRule="auto"/>
        <w:jc w:val="both"/>
        <w:rPr>
          <w:rFonts w:asciiTheme="minorHAnsi" w:hAnsiTheme="minorHAnsi" w:cstheme="minorHAnsi"/>
          <w:szCs w:val="24"/>
          <w:lang w:val="en-US"/>
        </w:rPr>
      </w:pPr>
    </w:p>
    <w:p w14:paraId="50D7F4D6" w14:textId="77777777" w:rsidR="008A2DE4" w:rsidRPr="005E0152" w:rsidRDefault="008A2DE4" w:rsidP="008A2DE4">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In 2021 and 2020, FOSSAL S.A.A. ("FOSSAL") obtained a net loss of S/ 23.90 million and S/ 222.92 million, respectively, and an operating loss of S/ 15.24 million and S/ 0.21 million, respectively.</w:t>
      </w:r>
    </w:p>
    <w:p w14:paraId="07D883AC" w14:textId="77777777" w:rsidR="008A2DE4" w:rsidRPr="005E0152" w:rsidRDefault="008A2DE4" w:rsidP="008A2DE4">
      <w:pPr>
        <w:pStyle w:val="Textopredeterminado"/>
        <w:spacing w:line="276" w:lineRule="auto"/>
        <w:jc w:val="both"/>
        <w:rPr>
          <w:rFonts w:asciiTheme="minorHAnsi" w:hAnsiTheme="minorHAnsi" w:cstheme="minorHAnsi"/>
          <w:szCs w:val="24"/>
          <w:lang w:val="en-US"/>
        </w:rPr>
      </w:pPr>
    </w:p>
    <w:p w14:paraId="18400D5E" w14:textId="77777777" w:rsidR="008A2DE4" w:rsidRPr="005E0152" w:rsidRDefault="008A2DE4" w:rsidP="008A2DE4">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 xml:space="preserve">Increased operating loss was due to the accounting provision associated with the impairment of the Subsidiary investment acquired during 2021. </w:t>
      </w:r>
    </w:p>
    <w:p w14:paraId="6C4D853F" w14:textId="77777777" w:rsidR="008A2DE4" w:rsidRPr="005E0152" w:rsidRDefault="008A2DE4" w:rsidP="008A2DE4">
      <w:pPr>
        <w:pStyle w:val="Textopredeterminado"/>
        <w:spacing w:line="276" w:lineRule="auto"/>
        <w:jc w:val="both"/>
        <w:rPr>
          <w:rFonts w:asciiTheme="minorHAnsi" w:hAnsiTheme="minorHAnsi" w:cstheme="minorHAnsi"/>
          <w:szCs w:val="24"/>
          <w:lang w:val="en-US"/>
        </w:rPr>
      </w:pPr>
    </w:p>
    <w:p w14:paraId="621C85A7" w14:textId="77777777" w:rsidR="008A2DE4" w:rsidRPr="005E0152" w:rsidRDefault="008A2DE4" w:rsidP="008A2DE4">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The accumulated results as of December 31, 2021, and 2020 were negative by S/ 23.90 and S/ 262.08 million, respectively.</w:t>
      </w:r>
    </w:p>
    <w:p w14:paraId="21685902" w14:textId="77777777" w:rsidR="008A2DE4" w:rsidRPr="005E0152" w:rsidRDefault="008A2DE4" w:rsidP="008A2DE4">
      <w:pPr>
        <w:pStyle w:val="Textopredeterminado"/>
        <w:spacing w:line="276" w:lineRule="auto"/>
        <w:jc w:val="both"/>
        <w:rPr>
          <w:rFonts w:asciiTheme="minorHAnsi" w:hAnsiTheme="minorHAnsi" w:cstheme="minorHAnsi"/>
          <w:szCs w:val="24"/>
          <w:lang w:val="en-US"/>
        </w:rPr>
      </w:pPr>
    </w:p>
    <w:p w14:paraId="6FF4E705" w14:textId="10938E7C" w:rsidR="00BC5E2B" w:rsidRPr="005E0152" w:rsidRDefault="00BC5E2B" w:rsidP="00BC5E2B">
      <w:pPr>
        <w:pStyle w:val="303"/>
        <w:tabs>
          <w:tab w:val="left" w:pos="0"/>
          <w:tab w:val="left" w:pos="360"/>
        </w:tabs>
        <w:spacing w:line="276" w:lineRule="auto"/>
        <w:jc w:val="both"/>
        <w:rPr>
          <w:rFonts w:asciiTheme="minorHAnsi" w:hAnsiTheme="minorHAnsi" w:cstheme="minorHAnsi"/>
          <w:b/>
          <w:sz w:val="24"/>
          <w:szCs w:val="24"/>
        </w:rPr>
      </w:pPr>
      <w:r w:rsidRPr="005E0152">
        <w:rPr>
          <w:rFonts w:asciiTheme="minorHAnsi" w:hAnsiTheme="minorHAnsi" w:cstheme="minorHAnsi"/>
          <w:b/>
          <w:sz w:val="24"/>
          <w:szCs w:val="24"/>
        </w:rPr>
        <w:t xml:space="preserve">Changes within the </w:t>
      </w:r>
      <w:r w:rsidR="005E0152" w:rsidRPr="005E0152">
        <w:rPr>
          <w:rFonts w:asciiTheme="minorHAnsi" w:hAnsiTheme="minorHAnsi" w:cstheme="minorHAnsi"/>
          <w:b/>
          <w:sz w:val="24"/>
          <w:szCs w:val="24"/>
        </w:rPr>
        <w:t>Responsible</w:t>
      </w:r>
      <w:r w:rsidRPr="005E0152">
        <w:rPr>
          <w:rFonts w:asciiTheme="minorHAnsi" w:hAnsiTheme="minorHAnsi" w:cstheme="minorHAnsi"/>
          <w:b/>
          <w:sz w:val="24"/>
          <w:szCs w:val="24"/>
        </w:rPr>
        <w:t xml:space="preserve"> of Elaborating and Reviewing Financial Statements </w:t>
      </w:r>
    </w:p>
    <w:p w14:paraId="4B3D3BCF" w14:textId="77777777" w:rsidR="00BC5E2B" w:rsidRPr="005E0152" w:rsidRDefault="00BC5E2B" w:rsidP="00DA2508">
      <w:pPr>
        <w:pStyle w:val="303"/>
        <w:tabs>
          <w:tab w:val="left" w:pos="0"/>
          <w:tab w:val="left" w:pos="360"/>
        </w:tabs>
        <w:spacing w:line="276" w:lineRule="auto"/>
        <w:jc w:val="both"/>
        <w:rPr>
          <w:rFonts w:asciiTheme="minorHAnsi" w:hAnsiTheme="minorHAnsi" w:cstheme="minorHAnsi"/>
          <w:b/>
          <w:sz w:val="24"/>
          <w:szCs w:val="24"/>
        </w:rPr>
      </w:pPr>
    </w:p>
    <w:p w14:paraId="4865AA51" w14:textId="56C73787" w:rsidR="00BC5E2B" w:rsidRPr="005E0152" w:rsidRDefault="00BC5E2B" w:rsidP="00BC5E2B">
      <w:pPr>
        <w:pStyle w:val="303"/>
        <w:tabs>
          <w:tab w:val="left" w:pos="0"/>
          <w:tab w:val="left" w:pos="360"/>
        </w:tabs>
        <w:spacing w:line="276" w:lineRule="auto"/>
        <w:jc w:val="both"/>
        <w:rPr>
          <w:rFonts w:asciiTheme="minorHAnsi" w:hAnsiTheme="minorHAnsi" w:cstheme="minorHAnsi"/>
          <w:sz w:val="24"/>
          <w:szCs w:val="24"/>
        </w:rPr>
      </w:pPr>
      <w:r w:rsidRPr="005E0152">
        <w:rPr>
          <w:rFonts w:asciiTheme="minorHAnsi" w:hAnsiTheme="minorHAnsi" w:cstheme="minorHAnsi"/>
          <w:sz w:val="24"/>
          <w:szCs w:val="24"/>
        </w:rPr>
        <w:t>During 202</w:t>
      </w:r>
      <w:r w:rsidRPr="005E0152">
        <w:rPr>
          <w:rFonts w:asciiTheme="minorHAnsi" w:hAnsiTheme="minorHAnsi" w:cstheme="minorHAnsi"/>
          <w:sz w:val="24"/>
          <w:szCs w:val="24"/>
        </w:rPr>
        <w:t>1</w:t>
      </w:r>
      <w:r w:rsidRPr="005E0152">
        <w:rPr>
          <w:rFonts w:asciiTheme="minorHAnsi" w:hAnsiTheme="minorHAnsi" w:cstheme="minorHAnsi"/>
          <w:sz w:val="24"/>
          <w:szCs w:val="24"/>
        </w:rPr>
        <w:t xml:space="preserve"> there has been no change within the team responsible on the elaboration and review of the financial statements of the Company.</w:t>
      </w:r>
    </w:p>
    <w:p w14:paraId="6C5DC8A2" w14:textId="77777777" w:rsidR="00BC5E2B" w:rsidRPr="005E0152" w:rsidRDefault="00BC5E2B" w:rsidP="00DA2508">
      <w:pPr>
        <w:pStyle w:val="303"/>
        <w:tabs>
          <w:tab w:val="left" w:pos="0"/>
          <w:tab w:val="left" w:pos="360"/>
        </w:tabs>
        <w:spacing w:line="276" w:lineRule="auto"/>
        <w:jc w:val="both"/>
        <w:rPr>
          <w:rFonts w:asciiTheme="minorHAnsi" w:hAnsiTheme="minorHAnsi" w:cstheme="minorHAnsi"/>
          <w:sz w:val="24"/>
          <w:szCs w:val="24"/>
        </w:rPr>
      </w:pPr>
    </w:p>
    <w:p w14:paraId="37618885" w14:textId="5AB070F7" w:rsidR="009D238A" w:rsidRPr="005E0152" w:rsidRDefault="006964ED" w:rsidP="00DA2508">
      <w:pPr>
        <w:pStyle w:val="303"/>
        <w:tabs>
          <w:tab w:val="left" w:pos="0"/>
          <w:tab w:val="left" w:pos="360"/>
        </w:tabs>
        <w:spacing w:line="276" w:lineRule="auto"/>
        <w:jc w:val="both"/>
        <w:rPr>
          <w:rFonts w:asciiTheme="minorHAnsi" w:hAnsiTheme="minorHAnsi" w:cstheme="minorHAnsi"/>
          <w:b/>
          <w:sz w:val="28"/>
          <w:szCs w:val="24"/>
        </w:rPr>
      </w:pPr>
      <w:r w:rsidRPr="005E0152">
        <w:rPr>
          <w:rFonts w:asciiTheme="minorHAnsi" w:hAnsiTheme="minorHAnsi" w:cstheme="minorHAnsi"/>
          <w:b/>
          <w:sz w:val="28"/>
          <w:szCs w:val="24"/>
        </w:rPr>
        <w:lastRenderedPageBreak/>
        <w:t>S</w:t>
      </w:r>
      <w:r w:rsidR="00BC5E2B" w:rsidRPr="005E0152">
        <w:rPr>
          <w:rFonts w:asciiTheme="minorHAnsi" w:hAnsiTheme="minorHAnsi" w:cstheme="minorHAnsi"/>
          <w:b/>
          <w:sz w:val="28"/>
          <w:szCs w:val="24"/>
        </w:rPr>
        <w:t>ection I</w:t>
      </w:r>
      <w:r w:rsidRPr="005E0152">
        <w:rPr>
          <w:rFonts w:asciiTheme="minorHAnsi" w:hAnsiTheme="minorHAnsi" w:cstheme="minorHAnsi"/>
          <w:b/>
          <w:sz w:val="28"/>
          <w:szCs w:val="24"/>
        </w:rPr>
        <w:t xml:space="preserve">V: </w:t>
      </w:r>
      <w:r w:rsidR="00BC5E2B" w:rsidRPr="005E0152">
        <w:rPr>
          <w:rFonts w:asciiTheme="minorHAnsi" w:hAnsiTheme="minorHAnsi" w:cstheme="minorHAnsi"/>
          <w:b/>
          <w:sz w:val="28"/>
          <w:szCs w:val="24"/>
        </w:rPr>
        <w:t>Consolidated Financial Statements as of December 31, 2021 and 2020.</w:t>
      </w:r>
    </w:p>
    <w:p w14:paraId="33BF1AA7" w14:textId="77777777" w:rsidR="009D238A" w:rsidRPr="005E0152" w:rsidRDefault="009D238A" w:rsidP="00CD321B">
      <w:pPr>
        <w:pStyle w:val="Textopredeterminado"/>
        <w:spacing w:line="276" w:lineRule="auto"/>
        <w:jc w:val="both"/>
        <w:rPr>
          <w:rFonts w:asciiTheme="minorHAnsi" w:hAnsiTheme="minorHAnsi" w:cstheme="minorHAnsi"/>
          <w:b/>
          <w:caps/>
          <w:sz w:val="26"/>
          <w:szCs w:val="26"/>
          <w:lang w:val="en-US"/>
        </w:rPr>
      </w:pPr>
    </w:p>
    <w:p w14:paraId="456E4552" w14:textId="3EEC89A3" w:rsidR="009D238A" w:rsidRPr="005E0152" w:rsidRDefault="006964ED" w:rsidP="00CD321B">
      <w:pPr>
        <w:pStyle w:val="Textopredeterminado"/>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a) Liqui</w:t>
      </w:r>
      <w:r w:rsidR="00255397" w:rsidRPr="005E0152">
        <w:rPr>
          <w:rFonts w:asciiTheme="minorHAnsi" w:hAnsiTheme="minorHAnsi" w:cstheme="minorHAnsi"/>
          <w:b/>
          <w:szCs w:val="24"/>
          <w:lang w:val="en-US"/>
        </w:rPr>
        <w:t>dity</w:t>
      </w:r>
      <w:r w:rsidRPr="005E0152">
        <w:rPr>
          <w:rFonts w:asciiTheme="minorHAnsi" w:hAnsiTheme="minorHAnsi" w:cstheme="minorHAnsi"/>
          <w:b/>
          <w:szCs w:val="24"/>
          <w:lang w:val="en-US"/>
        </w:rPr>
        <w:t xml:space="preserve">: </w:t>
      </w:r>
    </w:p>
    <w:p w14:paraId="32662DA9" w14:textId="77777777" w:rsidR="009D238A" w:rsidRPr="005E0152" w:rsidRDefault="009D238A" w:rsidP="00CD321B">
      <w:pPr>
        <w:pStyle w:val="Textopredeterminado"/>
        <w:spacing w:line="276" w:lineRule="auto"/>
        <w:jc w:val="both"/>
        <w:rPr>
          <w:rFonts w:asciiTheme="minorHAnsi" w:hAnsiTheme="minorHAnsi" w:cstheme="minorHAnsi"/>
          <w:b/>
          <w:szCs w:val="24"/>
          <w:lang w:val="en-US"/>
        </w:rPr>
      </w:pPr>
    </w:p>
    <w:tbl>
      <w:tblPr>
        <w:tblW w:w="0" w:type="auto"/>
        <w:tblInd w:w="684" w:type="dxa"/>
        <w:tblBorders>
          <w:left w:val="double" w:sz="8" w:space="0" w:color="000000"/>
          <w:insideV w:val="double" w:sz="8" w:space="0" w:color="000000"/>
        </w:tblBorders>
        <w:tblLayout w:type="fixed"/>
        <w:tblLook w:val="0000" w:firstRow="0" w:lastRow="0" w:firstColumn="0" w:lastColumn="0" w:noHBand="0" w:noVBand="0"/>
      </w:tblPr>
      <w:tblGrid>
        <w:gridCol w:w="5524"/>
        <w:gridCol w:w="1134"/>
        <w:gridCol w:w="1134"/>
      </w:tblGrid>
      <w:tr w:rsidR="00D029D6" w:rsidRPr="005E0152" w14:paraId="7923CFD2" w14:textId="77777777" w:rsidTr="009B1D2A">
        <w:trPr>
          <w:trHeight w:val="298"/>
        </w:trPr>
        <w:tc>
          <w:tcPr>
            <w:tcW w:w="5524" w:type="dxa"/>
            <w:tcBorders>
              <w:top w:val="double" w:sz="8" w:space="0" w:color="000000"/>
              <w:bottom w:val="nil"/>
              <w:right w:val="single" w:sz="8" w:space="0" w:color="000000"/>
            </w:tcBorders>
            <w:shd w:val="clear" w:color="auto" w:fill="A6A6A6" w:themeFill="background1" w:themeFillShade="A6"/>
          </w:tcPr>
          <w:p w14:paraId="14F28231" w14:textId="2212346E" w:rsidR="009D238A" w:rsidRPr="005E0152" w:rsidRDefault="00255397" w:rsidP="00255397">
            <w:pPr>
              <w:pStyle w:val="Textopredeterminado"/>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heme="minorHAnsi" w:hAnsiTheme="minorHAnsi" w:cstheme="minorHAnsi"/>
                <w:szCs w:val="24"/>
                <w:lang w:val="en-US"/>
              </w:rPr>
            </w:pPr>
            <w:r w:rsidRPr="005E0152">
              <w:rPr>
                <w:rFonts w:asciiTheme="minorHAnsi" w:hAnsiTheme="minorHAnsi" w:cstheme="minorHAnsi"/>
                <w:b/>
                <w:szCs w:val="24"/>
                <w:lang w:val="en-US"/>
              </w:rPr>
              <w:t>Liquidity Ratios</w:t>
            </w:r>
          </w:p>
        </w:tc>
        <w:tc>
          <w:tcPr>
            <w:tcW w:w="1134" w:type="dxa"/>
            <w:tcBorders>
              <w:top w:val="double" w:sz="8" w:space="0" w:color="000000"/>
              <w:bottom w:val="nil"/>
              <w:right w:val="single" w:sz="8" w:space="0" w:color="000000"/>
            </w:tcBorders>
            <w:shd w:val="clear" w:color="auto" w:fill="A6A6A6" w:themeFill="background1" w:themeFillShade="A6"/>
          </w:tcPr>
          <w:p w14:paraId="36794474" w14:textId="00F0378A" w:rsidR="009D238A" w:rsidRPr="005E0152" w:rsidRDefault="00F1404A" w:rsidP="00CD321B">
            <w:pPr>
              <w:pStyle w:val="Textopredeterminado"/>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202</w:t>
            </w:r>
            <w:r w:rsidR="00E25E0B" w:rsidRPr="005E0152">
              <w:rPr>
                <w:rFonts w:asciiTheme="minorHAnsi" w:hAnsiTheme="minorHAnsi" w:cstheme="minorHAnsi"/>
                <w:b/>
                <w:szCs w:val="24"/>
                <w:lang w:val="en-US"/>
              </w:rPr>
              <w:t>1</w:t>
            </w:r>
          </w:p>
        </w:tc>
        <w:tc>
          <w:tcPr>
            <w:tcW w:w="1134" w:type="dxa"/>
            <w:tcBorders>
              <w:top w:val="double" w:sz="8" w:space="0" w:color="000000"/>
              <w:left w:val="single" w:sz="8" w:space="0" w:color="000000"/>
              <w:bottom w:val="nil"/>
              <w:right w:val="single" w:sz="8" w:space="0" w:color="000000"/>
            </w:tcBorders>
            <w:shd w:val="clear" w:color="auto" w:fill="A6A6A6" w:themeFill="background1" w:themeFillShade="A6"/>
          </w:tcPr>
          <w:p w14:paraId="6543E7E3" w14:textId="13A47324" w:rsidR="009D238A" w:rsidRPr="005E0152" w:rsidRDefault="00D029D6" w:rsidP="00CD321B">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b/>
                <w:szCs w:val="24"/>
                <w:lang w:val="en-US"/>
              </w:rPr>
              <w:t>20</w:t>
            </w:r>
            <w:r w:rsidR="00E25E0B" w:rsidRPr="005E0152">
              <w:rPr>
                <w:rFonts w:asciiTheme="minorHAnsi" w:hAnsiTheme="minorHAnsi" w:cstheme="minorHAnsi"/>
                <w:b/>
                <w:szCs w:val="24"/>
                <w:lang w:val="en-US"/>
              </w:rPr>
              <w:t>20</w:t>
            </w:r>
          </w:p>
        </w:tc>
      </w:tr>
      <w:tr w:rsidR="00D029D6" w:rsidRPr="005E0152" w14:paraId="3C3C843E" w14:textId="77777777" w:rsidTr="009B1D2A">
        <w:trPr>
          <w:trHeight w:val="298"/>
        </w:trPr>
        <w:tc>
          <w:tcPr>
            <w:tcW w:w="5524" w:type="dxa"/>
            <w:tcBorders>
              <w:top w:val="single" w:sz="8" w:space="0" w:color="000000"/>
              <w:left w:val="double" w:sz="2" w:space="0" w:color="000000"/>
              <w:bottom w:val="double" w:sz="2" w:space="0" w:color="000000"/>
              <w:right w:val="single" w:sz="8" w:space="0" w:color="000000"/>
            </w:tcBorders>
          </w:tcPr>
          <w:p w14:paraId="6DE89BC1" w14:textId="69C2EA2B" w:rsidR="009D238A" w:rsidRPr="005E0152" w:rsidRDefault="00255397" w:rsidP="00255397">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Current Ratio</w:t>
            </w:r>
            <w:r w:rsidR="00D029D6" w:rsidRPr="005E0152">
              <w:rPr>
                <w:rFonts w:asciiTheme="minorHAnsi" w:hAnsiTheme="minorHAnsi" w:cstheme="minorHAnsi"/>
                <w:szCs w:val="24"/>
                <w:lang w:val="en-US"/>
              </w:rPr>
              <w:t xml:space="preserve">  (</w:t>
            </w:r>
            <w:r w:rsidRPr="005E0152">
              <w:rPr>
                <w:rFonts w:asciiTheme="minorHAnsi" w:hAnsiTheme="minorHAnsi" w:cstheme="minorHAnsi"/>
                <w:szCs w:val="24"/>
                <w:lang w:val="en-US"/>
              </w:rPr>
              <w:t xml:space="preserve">Current Assets </w:t>
            </w:r>
            <w:r w:rsidR="00D029D6" w:rsidRPr="005E0152">
              <w:rPr>
                <w:rFonts w:asciiTheme="minorHAnsi" w:hAnsiTheme="minorHAnsi" w:cstheme="minorHAnsi"/>
                <w:szCs w:val="24"/>
                <w:lang w:val="en-US"/>
              </w:rPr>
              <w:t xml:space="preserve">/ </w:t>
            </w:r>
            <w:r w:rsidRPr="005E0152">
              <w:rPr>
                <w:rFonts w:asciiTheme="minorHAnsi" w:hAnsiTheme="minorHAnsi" w:cstheme="minorHAnsi"/>
                <w:szCs w:val="24"/>
                <w:lang w:val="en-US"/>
              </w:rPr>
              <w:t>Current Liabilities</w:t>
            </w:r>
            <w:r w:rsidR="00D029D6" w:rsidRPr="005E0152">
              <w:rPr>
                <w:rFonts w:asciiTheme="minorHAnsi" w:hAnsiTheme="minorHAnsi" w:cstheme="minorHAnsi"/>
                <w:szCs w:val="24"/>
                <w:lang w:val="en-US"/>
              </w:rPr>
              <w:t>)</w:t>
            </w:r>
          </w:p>
        </w:tc>
        <w:tc>
          <w:tcPr>
            <w:tcW w:w="1134" w:type="dxa"/>
            <w:tcBorders>
              <w:top w:val="single" w:sz="8" w:space="0" w:color="000000"/>
              <w:left w:val="single" w:sz="8" w:space="0" w:color="000000"/>
              <w:bottom w:val="double" w:sz="2" w:space="0" w:color="000000"/>
              <w:right w:val="single" w:sz="8" w:space="0" w:color="000000"/>
            </w:tcBorders>
          </w:tcPr>
          <w:p w14:paraId="0FAC2DAF" w14:textId="5B4515A5" w:rsidR="009D238A" w:rsidRPr="005E0152" w:rsidRDefault="00350507" w:rsidP="00CD321B">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5.77</w:t>
            </w:r>
          </w:p>
        </w:tc>
        <w:tc>
          <w:tcPr>
            <w:tcW w:w="1134" w:type="dxa"/>
            <w:tcBorders>
              <w:top w:val="single" w:sz="8" w:space="0" w:color="000000"/>
              <w:left w:val="single" w:sz="8" w:space="0" w:color="000000"/>
              <w:bottom w:val="double" w:sz="2" w:space="0" w:color="000000"/>
              <w:right w:val="single" w:sz="8" w:space="0" w:color="000000"/>
            </w:tcBorders>
          </w:tcPr>
          <w:p w14:paraId="5B613BB5" w14:textId="45FD7C43" w:rsidR="009D238A" w:rsidRPr="005E0152" w:rsidRDefault="00350507" w:rsidP="00CD321B">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4.70</w:t>
            </w:r>
          </w:p>
        </w:tc>
      </w:tr>
    </w:tbl>
    <w:p w14:paraId="78AA112B" w14:textId="77777777" w:rsidR="009D238A" w:rsidRPr="005E0152" w:rsidRDefault="009D238A" w:rsidP="00CD321B">
      <w:pPr>
        <w:pStyle w:val="Textopredeterminado"/>
        <w:spacing w:line="276" w:lineRule="auto"/>
        <w:jc w:val="both"/>
        <w:rPr>
          <w:rFonts w:asciiTheme="minorHAnsi" w:hAnsiTheme="minorHAnsi" w:cstheme="minorHAnsi"/>
          <w:szCs w:val="24"/>
          <w:lang w:val="en-US"/>
        </w:rPr>
      </w:pPr>
    </w:p>
    <w:p w14:paraId="4D0723CA" w14:textId="49B23F45" w:rsidR="00255397" w:rsidRPr="005E0152" w:rsidRDefault="00255397" w:rsidP="00CD321B">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Liquidity indicators as of December 31, 2021 have increased concerning 2020 financial statements, mainly due to the reduction in current liabilities as a result of the decrease in commercial and other diverse accounts payable.</w:t>
      </w:r>
    </w:p>
    <w:p w14:paraId="307989A2" w14:textId="77777777" w:rsidR="00AB792E" w:rsidRPr="005E0152" w:rsidRDefault="00AB792E" w:rsidP="00CD321B">
      <w:pPr>
        <w:pStyle w:val="Textopredeterminado"/>
        <w:spacing w:line="276" w:lineRule="auto"/>
        <w:jc w:val="both"/>
        <w:rPr>
          <w:rFonts w:asciiTheme="minorHAnsi" w:hAnsiTheme="minorHAnsi" w:cstheme="minorHAnsi"/>
          <w:szCs w:val="24"/>
          <w:lang w:val="en-US"/>
        </w:rPr>
      </w:pPr>
    </w:p>
    <w:p w14:paraId="489709B1" w14:textId="743BD53C" w:rsidR="009D238A" w:rsidRPr="005E0152" w:rsidRDefault="006964ED" w:rsidP="007878C7">
      <w:pPr>
        <w:pStyle w:val="Textopredeterminado"/>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 xml:space="preserve">b) Capital </w:t>
      </w:r>
      <w:r w:rsidR="00255397" w:rsidRPr="005E0152">
        <w:rPr>
          <w:rFonts w:asciiTheme="minorHAnsi" w:hAnsiTheme="minorHAnsi" w:cstheme="minorHAnsi"/>
          <w:b/>
          <w:szCs w:val="24"/>
          <w:lang w:val="en-US"/>
        </w:rPr>
        <w:t>and Financing</w:t>
      </w:r>
      <w:r w:rsidRPr="005E0152">
        <w:rPr>
          <w:rFonts w:asciiTheme="minorHAnsi" w:hAnsiTheme="minorHAnsi" w:cstheme="minorHAnsi"/>
          <w:b/>
          <w:szCs w:val="24"/>
          <w:lang w:val="en-US"/>
        </w:rPr>
        <w:t>:</w:t>
      </w:r>
    </w:p>
    <w:p w14:paraId="655BADFB" w14:textId="77777777" w:rsidR="009D238A" w:rsidRPr="005E0152" w:rsidRDefault="009D238A" w:rsidP="007878C7">
      <w:pPr>
        <w:pStyle w:val="Textopredeterminado"/>
        <w:spacing w:line="276" w:lineRule="auto"/>
        <w:jc w:val="both"/>
        <w:rPr>
          <w:rFonts w:asciiTheme="minorHAnsi" w:hAnsiTheme="minorHAnsi" w:cstheme="minorHAnsi"/>
          <w:b/>
          <w:szCs w:val="24"/>
          <w:lang w:val="en-US"/>
        </w:rPr>
      </w:pPr>
    </w:p>
    <w:tbl>
      <w:tblPr>
        <w:tblW w:w="8158" w:type="dxa"/>
        <w:tblInd w:w="675" w:type="dxa"/>
        <w:tblBorders>
          <w:left w:val="double" w:sz="8" w:space="0" w:color="000000"/>
          <w:insideV w:val="double" w:sz="8" w:space="0" w:color="000000"/>
        </w:tblBorders>
        <w:tblLayout w:type="fixed"/>
        <w:tblLook w:val="0000" w:firstRow="0" w:lastRow="0" w:firstColumn="0" w:lastColumn="0" w:noHBand="0" w:noVBand="0"/>
      </w:tblPr>
      <w:tblGrid>
        <w:gridCol w:w="5890"/>
        <w:gridCol w:w="1134"/>
        <w:gridCol w:w="1134"/>
      </w:tblGrid>
      <w:tr w:rsidR="00D029D6" w:rsidRPr="005E0152" w14:paraId="643AE2A1" w14:textId="77777777" w:rsidTr="00C85A36">
        <w:trPr>
          <w:trHeight w:val="298"/>
        </w:trPr>
        <w:tc>
          <w:tcPr>
            <w:tcW w:w="5890" w:type="dxa"/>
            <w:tcBorders>
              <w:top w:val="double" w:sz="8" w:space="0" w:color="000000"/>
              <w:bottom w:val="single" w:sz="8" w:space="0" w:color="000000"/>
              <w:right w:val="single" w:sz="8" w:space="0" w:color="000000"/>
            </w:tcBorders>
            <w:shd w:val="clear" w:color="auto" w:fill="A6A6A6" w:themeFill="background1" w:themeFillShade="A6"/>
            <w:vAlign w:val="center"/>
          </w:tcPr>
          <w:p w14:paraId="092E587E" w14:textId="2B23640D" w:rsidR="009D238A" w:rsidRPr="005E0152" w:rsidRDefault="00DB04BF" w:rsidP="00DB04BF">
            <w:pPr>
              <w:pStyle w:val="Textopredeterminado"/>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heme="minorHAnsi" w:hAnsiTheme="minorHAnsi" w:cstheme="minorHAnsi"/>
                <w:b/>
                <w:szCs w:val="24"/>
                <w:lang w:val="en-US"/>
              </w:rPr>
            </w:pPr>
            <w:r w:rsidRPr="00DB04BF">
              <w:rPr>
                <w:rFonts w:asciiTheme="minorHAnsi" w:hAnsiTheme="minorHAnsi" w:cstheme="minorHAnsi"/>
                <w:b/>
                <w:szCs w:val="24"/>
                <w:lang w:val="en-US"/>
              </w:rPr>
              <w:t xml:space="preserve">Debt Ratios </w:t>
            </w:r>
          </w:p>
        </w:tc>
        <w:tc>
          <w:tcPr>
            <w:tcW w:w="1134" w:type="dxa"/>
            <w:tcBorders>
              <w:top w:val="double" w:sz="8" w:space="0" w:color="000000"/>
              <w:bottom w:val="single" w:sz="8" w:space="0" w:color="000000"/>
              <w:right w:val="single" w:sz="8" w:space="0" w:color="000000"/>
            </w:tcBorders>
            <w:shd w:val="clear" w:color="auto" w:fill="A6A6A6" w:themeFill="background1" w:themeFillShade="A6"/>
          </w:tcPr>
          <w:p w14:paraId="5205993D" w14:textId="32179F94" w:rsidR="009D238A" w:rsidRPr="005E0152" w:rsidRDefault="004C64C3" w:rsidP="007878C7">
            <w:pPr>
              <w:pStyle w:val="Textopredeterminado"/>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202</w:t>
            </w:r>
            <w:r w:rsidR="00E25E0B" w:rsidRPr="005E0152">
              <w:rPr>
                <w:rFonts w:asciiTheme="minorHAnsi" w:hAnsiTheme="minorHAnsi" w:cstheme="minorHAnsi"/>
                <w:b/>
                <w:szCs w:val="24"/>
                <w:lang w:val="en-US"/>
              </w:rPr>
              <w:t>1</w:t>
            </w:r>
          </w:p>
        </w:tc>
        <w:tc>
          <w:tcPr>
            <w:tcW w:w="1134" w:type="dxa"/>
            <w:tcBorders>
              <w:top w:val="double" w:sz="8" w:space="0" w:color="000000"/>
              <w:left w:val="single" w:sz="8" w:space="0" w:color="000000"/>
              <w:bottom w:val="single" w:sz="8" w:space="0" w:color="000000"/>
              <w:right w:val="single" w:sz="8" w:space="0" w:color="000000"/>
            </w:tcBorders>
            <w:shd w:val="clear" w:color="auto" w:fill="A6A6A6" w:themeFill="background1" w:themeFillShade="A6"/>
          </w:tcPr>
          <w:p w14:paraId="3BD48D3B" w14:textId="27D02A6F" w:rsidR="009D238A" w:rsidRPr="005E0152" w:rsidRDefault="00D029D6" w:rsidP="007878C7">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b/>
                <w:szCs w:val="24"/>
                <w:lang w:val="en-US"/>
              </w:rPr>
              <w:t>20</w:t>
            </w:r>
            <w:r w:rsidR="00E25E0B" w:rsidRPr="005E0152">
              <w:rPr>
                <w:rFonts w:asciiTheme="minorHAnsi" w:hAnsiTheme="minorHAnsi" w:cstheme="minorHAnsi"/>
                <w:b/>
                <w:szCs w:val="24"/>
                <w:lang w:val="en-US"/>
              </w:rPr>
              <w:t>20</w:t>
            </w:r>
          </w:p>
        </w:tc>
      </w:tr>
      <w:tr w:rsidR="00954FD3" w:rsidRPr="005E0152" w14:paraId="0059EC37" w14:textId="77777777" w:rsidTr="00C85A36">
        <w:trPr>
          <w:trHeight w:val="298"/>
        </w:trPr>
        <w:tc>
          <w:tcPr>
            <w:tcW w:w="5890" w:type="dxa"/>
            <w:tcBorders>
              <w:top w:val="single" w:sz="8" w:space="0" w:color="000000"/>
              <w:bottom w:val="single" w:sz="8" w:space="0" w:color="000000"/>
              <w:right w:val="single" w:sz="8" w:space="0" w:color="000000"/>
            </w:tcBorders>
          </w:tcPr>
          <w:p w14:paraId="42151E4B" w14:textId="7904728D" w:rsidR="009D238A" w:rsidRPr="005E0152" w:rsidRDefault="006C60FC" w:rsidP="006C60FC">
            <w:pPr>
              <w:pStyle w:val="Textopredeterminado"/>
              <w:spacing w:line="276" w:lineRule="auto"/>
              <w:jc w:val="both"/>
              <w:rPr>
                <w:rFonts w:asciiTheme="minorHAnsi" w:hAnsiTheme="minorHAnsi" w:cstheme="minorHAnsi"/>
                <w:b/>
                <w:szCs w:val="24"/>
                <w:lang w:val="en-US"/>
              </w:rPr>
            </w:pPr>
            <w:r w:rsidRPr="005E0152">
              <w:rPr>
                <w:rFonts w:asciiTheme="minorHAnsi" w:hAnsiTheme="minorHAnsi" w:cstheme="minorHAnsi"/>
                <w:szCs w:val="24"/>
                <w:lang w:val="en-US"/>
              </w:rPr>
              <w:t>Total Liabilities</w:t>
            </w:r>
            <w:r w:rsidR="00954FD3" w:rsidRPr="005E0152">
              <w:rPr>
                <w:rFonts w:asciiTheme="minorHAnsi" w:hAnsiTheme="minorHAnsi" w:cstheme="minorHAnsi"/>
                <w:szCs w:val="24"/>
                <w:lang w:val="en-US"/>
              </w:rPr>
              <w:t xml:space="preserve"> / Total </w:t>
            </w:r>
            <w:r w:rsidRPr="005E0152">
              <w:rPr>
                <w:rFonts w:asciiTheme="minorHAnsi" w:hAnsiTheme="minorHAnsi" w:cstheme="minorHAnsi"/>
                <w:szCs w:val="24"/>
                <w:lang w:val="en-US"/>
              </w:rPr>
              <w:t>Assets</w:t>
            </w:r>
          </w:p>
        </w:tc>
        <w:tc>
          <w:tcPr>
            <w:tcW w:w="1134" w:type="dxa"/>
            <w:tcBorders>
              <w:top w:val="single" w:sz="8" w:space="0" w:color="000000"/>
              <w:bottom w:val="single" w:sz="8" w:space="0" w:color="000000"/>
              <w:right w:val="single" w:sz="8" w:space="0" w:color="000000"/>
            </w:tcBorders>
          </w:tcPr>
          <w:p w14:paraId="3F37FAFD" w14:textId="2BA364D4" w:rsidR="009D238A" w:rsidRPr="005E0152" w:rsidRDefault="004C64C3" w:rsidP="007878C7">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0.</w:t>
            </w:r>
            <w:r w:rsidR="00170623" w:rsidRPr="005E0152">
              <w:rPr>
                <w:rFonts w:asciiTheme="minorHAnsi" w:hAnsiTheme="minorHAnsi" w:cstheme="minorHAnsi"/>
                <w:szCs w:val="24"/>
                <w:lang w:val="en-US"/>
              </w:rPr>
              <w:t>480</w:t>
            </w:r>
          </w:p>
        </w:tc>
        <w:tc>
          <w:tcPr>
            <w:tcW w:w="1134" w:type="dxa"/>
            <w:tcBorders>
              <w:top w:val="single" w:sz="8" w:space="0" w:color="000000"/>
              <w:left w:val="single" w:sz="8" w:space="0" w:color="000000"/>
              <w:bottom w:val="single" w:sz="8" w:space="0" w:color="000000"/>
              <w:right w:val="single" w:sz="8" w:space="0" w:color="000000"/>
            </w:tcBorders>
          </w:tcPr>
          <w:p w14:paraId="61A48A49" w14:textId="7E1E3F06" w:rsidR="009D238A" w:rsidRPr="005E0152" w:rsidRDefault="004C64C3" w:rsidP="007878C7">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0.</w:t>
            </w:r>
            <w:r w:rsidR="00E25E0B" w:rsidRPr="005E0152">
              <w:rPr>
                <w:rFonts w:asciiTheme="minorHAnsi" w:hAnsiTheme="minorHAnsi" w:cstheme="minorHAnsi"/>
                <w:szCs w:val="24"/>
                <w:lang w:val="en-US"/>
              </w:rPr>
              <w:t>193</w:t>
            </w:r>
          </w:p>
        </w:tc>
      </w:tr>
      <w:tr w:rsidR="00954FD3" w:rsidRPr="005E0152" w14:paraId="663CCA4A" w14:textId="77777777" w:rsidTr="00C85A36">
        <w:trPr>
          <w:trHeight w:val="298"/>
        </w:trPr>
        <w:tc>
          <w:tcPr>
            <w:tcW w:w="5890" w:type="dxa"/>
            <w:tcBorders>
              <w:top w:val="single" w:sz="8" w:space="0" w:color="000000"/>
              <w:bottom w:val="double" w:sz="8" w:space="0" w:color="000000"/>
              <w:right w:val="single" w:sz="8" w:space="0" w:color="000000"/>
            </w:tcBorders>
          </w:tcPr>
          <w:p w14:paraId="14C7975B" w14:textId="1A53C838" w:rsidR="009D238A" w:rsidRPr="005E0152" w:rsidRDefault="006C60FC" w:rsidP="006C60FC">
            <w:pPr>
              <w:pStyle w:val="Textopredeterminado"/>
              <w:spacing w:line="276" w:lineRule="auto"/>
              <w:jc w:val="both"/>
              <w:rPr>
                <w:rFonts w:asciiTheme="minorHAnsi" w:hAnsiTheme="minorHAnsi" w:cstheme="minorHAnsi"/>
                <w:b/>
                <w:szCs w:val="24"/>
                <w:lang w:val="en-US"/>
              </w:rPr>
            </w:pPr>
            <w:r w:rsidRPr="005E0152">
              <w:rPr>
                <w:rFonts w:asciiTheme="minorHAnsi" w:hAnsiTheme="minorHAnsi" w:cstheme="minorHAnsi"/>
                <w:szCs w:val="24"/>
                <w:lang w:val="en-US"/>
              </w:rPr>
              <w:t>Total Shareholder Net Equity</w:t>
            </w:r>
            <w:r w:rsidR="00954FD3" w:rsidRPr="005E0152">
              <w:rPr>
                <w:rFonts w:asciiTheme="minorHAnsi" w:hAnsiTheme="minorHAnsi" w:cstheme="minorHAnsi"/>
                <w:szCs w:val="24"/>
                <w:lang w:val="en-US"/>
              </w:rPr>
              <w:t xml:space="preserve"> / Total </w:t>
            </w:r>
            <w:r w:rsidRPr="005E0152">
              <w:rPr>
                <w:rFonts w:asciiTheme="minorHAnsi" w:hAnsiTheme="minorHAnsi" w:cstheme="minorHAnsi"/>
                <w:szCs w:val="24"/>
                <w:lang w:val="en-US"/>
              </w:rPr>
              <w:t>Assets</w:t>
            </w:r>
          </w:p>
        </w:tc>
        <w:tc>
          <w:tcPr>
            <w:tcW w:w="1134" w:type="dxa"/>
            <w:tcBorders>
              <w:top w:val="single" w:sz="8" w:space="0" w:color="000000"/>
              <w:bottom w:val="double" w:sz="8" w:space="0" w:color="000000"/>
              <w:right w:val="single" w:sz="8" w:space="0" w:color="000000"/>
            </w:tcBorders>
          </w:tcPr>
          <w:p w14:paraId="48063954" w14:textId="2CB1027A" w:rsidR="009D238A" w:rsidRPr="005E0152" w:rsidRDefault="004C64C3">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0.</w:t>
            </w:r>
            <w:r w:rsidR="00170623" w:rsidRPr="005E0152">
              <w:rPr>
                <w:rFonts w:asciiTheme="minorHAnsi" w:hAnsiTheme="minorHAnsi" w:cstheme="minorHAnsi"/>
                <w:szCs w:val="24"/>
                <w:lang w:val="en-US"/>
              </w:rPr>
              <w:t>520</w:t>
            </w:r>
          </w:p>
        </w:tc>
        <w:tc>
          <w:tcPr>
            <w:tcW w:w="1134" w:type="dxa"/>
            <w:tcBorders>
              <w:top w:val="single" w:sz="8" w:space="0" w:color="000000"/>
              <w:left w:val="single" w:sz="8" w:space="0" w:color="000000"/>
              <w:bottom w:val="double" w:sz="8" w:space="0" w:color="000000"/>
              <w:right w:val="single" w:sz="8" w:space="0" w:color="000000"/>
            </w:tcBorders>
          </w:tcPr>
          <w:p w14:paraId="31D2275C" w14:textId="21721FA2" w:rsidR="009D238A" w:rsidRPr="005E0152" w:rsidRDefault="00954FD3" w:rsidP="007878C7">
            <w:pPr>
              <w:pStyle w:val="Textopredeterminado"/>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0.</w:t>
            </w:r>
            <w:r w:rsidR="00E25E0B" w:rsidRPr="005E0152">
              <w:rPr>
                <w:rFonts w:asciiTheme="minorHAnsi" w:hAnsiTheme="minorHAnsi" w:cstheme="minorHAnsi"/>
                <w:szCs w:val="24"/>
                <w:lang w:val="en-US"/>
              </w:rPr>
              <w:t>807</w:t>
            </w:r>
          </w:p>
        </w:tc>
      </w:tr>
    </w:tbl>
    <w:p w14:paraId="452958DE" w14:textId="77777777" w:rsidR="009D238A" w:rsidRPr="005E0152" w:rsidRDefault="009D238A" w:rsidP="007878C7">
      <w:pPr>
        <w:pStyle w:val="Textopredeterminado"/>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heme="minorHAnsi" w:hAnsiTheme="minorHAnsi" w:cstheme="minorHAnsi"/>
          <w:b/>
          <w:szCs w:val="24"/>
          <w:lang w:val="en-US"/>
        </w:rPr>
      </w:pPr>
    </w:p>
    <w:p w14:paraId="4DC1FBD5" w14:textId="77777777" w:rsidR="002317FF" w:rsidRPr="002317FF" w:rsidRDefault="002317FF" w:rsidP="002317FF">
      <w:pPr>
        <w:pStyle w:val="Textopredeterminado"/>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heme="minorHAnsi" w:hAnsiTheme="minorHAnsi" w:cstheme="minorHAnsi"/>
          <w:szCs w:val="24"/>
          <w:lang w:val="en-US"/>
        </w:rPr>
      </w:pPr>
      <w:r w:rsidRPr="002317FF">
        <w:rPr>
          <w:rFonts w:asciiTheme="minorHAnsi" w:hAnsiTheme="minorHAnsi" w:cstheme="minorHAnsi"/>
          <w:szCs w:val="24"/>
          <w:lang w:val="en-US"/>
        </w:rPr>
        <w:t>Due to assets and equity reduction, the financing indicators as of December 31, 2021, vary concerning the financial information as of December 31, 2020.</w:t>
      </w:r>
    </w:p>
    <w:p w14:paraId="25E70647" w14:textId="77777777" w:rsidR="002317FF" w:rsidRPr="002317FF" w:rsidRDefault="002317FF" w:rsidP="002317FF">
      <w:pPr>
        <w:pStyle w:val="Textopredeterminado"/>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heme="minorHAnsi" w:hAnsiTheme="minorHAnsi" w:cstheme="minorHAnsi"/>
          <w:szCs w:val="24"/>
          <w:lang w:val="en-US"/>
        </w:rPr>
      </w:pPr>
    </w:p>
    <w:p w14:paraId="4CEE0029" w14:textId="0D2310D3" w:rsidR="009D238A" w:rsidRDefault="002317FF" w:rsidP="002317FF">
      <w:pPr>
        <w:pStyle w:val="Textopredeterminado"/>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heme="minorHAnsi" w:hAnsiTheme="minorHAnsi" w:cstheme="minorHAnsi"/>
          <w:szCs w:val="24"/>
          <w:lang w:val="en-US"/>
        </w:rPr>
      </w:pPr>
      <w:r w:rsidRPr="002317FF">
        <w:rPr>
          <w:rFonts w:asciiTheme="minorHAnsi" w:hAnsiTheme="minorHAnsi" w:cstheme="minorHAnsi"/>
          <w:szCs w:val="24"/>
          <w:lang w:val="en-US"/>
        </w:rPr>
        <w:t>This reduction is mainly explained by the losses generated in 2021 due to the devaluation of the subsidiary investment during 2021.</w:t>
      </w:r>
    </w:p>
    <w:p w14:paraId="154921FB" w14:textId="77777777" w:rsidR="002317FF" w:rsidRPr="005E0152" w:rsidRDefault="002317FF" w:rsidP="002317FF">
      <w:pPr>
        <w:pStyle w:val="Textopredeterminado"/>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heme="minorHAnsi" w:hAnsiTheme="minorHAnsi" w:cstheme="minorHAnsi"/>
          <w:b/>
          <w:szCs w:val="24"/>
          <w:lang w:val="en-US"/>
        </w:rPr>
      </w:pPr>
    </w:p>
    <w:p w14:paraId="618911D7" w14:textId="25DC222C" w:rsidR="009D238A" w:rsidRPr="005E0152" w:rsidRDefault="006C60FC" w:rsidP="000005A0">
      <w:pPr>
        <w:pStyle w:val="Textopredeterminado"/>
        <w:spacing w:line="276" w:lineRule="auto"/>
        <w:jc w:val="both"/>
        <w:rPr>
          <w:rFonts w:asciiTheme="minorHAnsi" w:hAnsiTheme="minorHAnsi" w:cstheme="minorHAnsi"/>
          <w:b/>
          <w:szCs w:val="24"/>
          <w:lang w:val="en-US"/>
        </w:rPr>
      </w:pPr>
      <w:r w:rsidRPr="005E0152">
        <w:rPr>
          <w:rFonts w:asciiTheme="minorHAnsi" w:hAnsiTheme="minorHAnsi" w:cstheme="minorHAnsi"/>
          <w:b/>
          <w:szCs w:val="24"/>
          <w:lang w:val="en-US"/>
        </w:rPr>
        <w:t>c) Economic Results</w:t>
      </w:r>
    </w:p>
    <w:p w14:paraId="627E42FD" w14:textId="77777777" w:rsidR="000005A0" w:rsidRPr="005E0152" w:rsidRDefault="000005A0" w:rsidP="000005A0">
      <w:pPr>
        <w:pStyle w:val="Textopredeterminado"/>
        <w:spacing w:line="276" w:lineRule="auto"/>
        <w:jc w:val="both"/>
        <w:rPr>
          <w:rFonts w:asciiTheme="minorHAnsi" w:hAnsiTheme="minorHAnsi" w:cstheme="minorHAnsi"/>
          <w:szCs w:val="24"/>
          <w:lang w:val="en-US"/>
        </w:rPr>
      </w:pPr>
    </w:p>
    <w:p w14:paraId="74B88411" w14:textId="77777777" w:rsidR="006C60FC" w:rsidRPr="005E0152" w:rsidRDefault="006C60FC" w:rsidP="006C60FC">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 xml:space="preserve">In 2021 and 2020, FOSSAL S.A.A. and its subsidiary obtained a net loss of S/ 25.75 million and S/ 318.47 million, respectively, and an operating loss of S/ 25.91 million and S/ 318.55 million, respectively. </w:t>
      </w:r>
    </w:p>
    <w:p w14:paraId="65AF8044" w14:textId="77777777" w:rsidR="006C60FC" w:rsidRPr="005E0152" w:rsidRDefault="006C60FC" w:rsidP="006C60FC">
      <w:pPr>
        <w:spacing w:line="276" w:lineRule="auto"/>
        <w:jc w:val="both"/>
        <w:rPr>
          <w:rFonts w:asciiTheme="minorHAnsi" w:hAnsiTheme="minorHAnsi" w:cstheme="minorHAnsi"/>
          <w:szCs w:val="24"/>
          <w:lang w:val="en-US"/>
        </w:rPr>
      </w:pPr>
    </w:p>
    <w:p w14:paraId="221FC3DD" w14:textId="18D88B25" w:rsidR="006C60FC" w:rsidRPr="005E0152" w:rsidRDefault="006C60FC" w:rsidP="006C60FC">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The accumulated results as of December 31, 2021, and 2020 were negative by S/ 23.90 million and S/ 262.01 million, respectively.</w:t>
      </w:r>
    </w:p>
    <w:p w14:paraId="42840FFE" w14:textId="5CF288BA" w:rsidR="00C10977" w:rsidRPr="005E0152" w:rsidRDefault="00C10977" w:rsidP="000005A0">
      <w:pPr>
        <w:spacing w:line="276" w:lineRule="auto"/>
        <w:jc w:val="both"/>
        <w:rPr>
          <w:rFonts w:asciiTheme="minorHAnsi" w:hAnsiTheme="minorHAnsi" w:cstheme="minorHAnsi"/>
          <w:szCs w:val="24"/>
          <w:lang w:val="en-US"/>
        </w:rPr>
      </w:pPr>
    </w:p>
    <w:p w14:paraId="5F665638" w14:textId="77777777" w:rsidR="009D238A" w:rsidRPr="005E0152" w:rsidRDefault="009D238A" w:rsidP="000005A0">
      <w:pPr>
        <w:spacing w:line="276" w:lineRule="auto"/>
        <w:jc w:val="both"/>
        <w:rPr>
          <w:rFonts w:asciiTheme="minorHAnsi" w:hAnsiTheme="minorHAnsi" w:cstheme="minorHAnsi"/>
          <w:szCs w:val="24"/>
          <w:lang w:val="en-US"/>
        </w:rPr>
      </w:pPr>
    </w:p>
    <w:p w14:paraId="7ACA30C1" w14:textId="77777777" w:rsidR="00BE3FF4" w:rsidRPr="005E0152" w:rsidRDefault="00BE3FF4" w:rsidP="00555CC3">
      <w:pPr>
        <w:spacing w:line="276" w:lineRule="auto"/>
        <w:jc w:val="both"/>
        <w:rPr>
          <w:rFonts w:asciiTheme="minorHAnsi" w:hAnsiTheme="minorHAnsi" w:cstheme="minorHAnsi"/>
          <w:b/>
          <w:spacing w:val="20"/>
          <w:sz w:val="26"/>
          <w:szCs w:val="26"/>
          <w:lang w:val="en-US"/>
        </w:rPr>
      </w:pPr>
    </w:p>
    <w:p w14:paraId="07C39CE4" w14:textId="77777777" w:rsidR="00BE3FF4" w:rsidRPr="005E0152" w:rsidRDefault="00BE3FF4" w:rsidP="00555CC3">
      <w:pPr>
        <w:spacing w:line="276" w:lineRule="auto"/>
        <w:jc w:val="both"/>
        <w:rPr>
          <w:rFonts w:asciiTheme="minorHAnsi" w:hAnsiTheme="minorHAnsi" w:cstheme="minorHAnsi"/>
          <w:b/>
          <w:spacing w:val="20"/>
          <w:sz w:val="26"/>
          <w:szCs w:val="26"/>
          <w:lang w:val="en-US"/>
        </w:rPr>
      </w:pPr>
    </w:p>
    <w:p w14:paraId="5D92E405" w14:textId="77777777" w:rsidR="00BE3FF4" w:rsidRPr="005E0152" w:rsidRDefault="00BE3FF4" w:rsidP="00555CC3">
      <w:pPr>
        <w:spacing w:line="276" w:lineRule="auto"/>
        <w:jc w:val="both"/>
        <w:rPr>
          <w:rFonts w:asciiTheme="minorHAnsi" w:hAnsiTheme="minorHAnsi" w:cstheme="minorHAnsi"/>
          <w:b/>
          <w:spacing w:val="20"/>
          <w:sz w:val="26"/>
          <w:szCs w:val="26"/>
          <w:lang w:val="en-US"/>
        </w:rPr>
      </w:pPr>
    </w:p>
    <w:p w14:paraId="3400775E" w14:textId="5F06D325" w:rsidR="00BE3FF4" w:rsidRPr="005E0152" w:rsidRDefault="00BE3FF4" w:rsidP="00555CC3">
      <w:pPr>
        <w:spacing w:line="276" w:lineRule="auto"/>
        <w:jc w:val="both"/>
        <w:rPr>
          <w:rFonts w:asciiTheme="minorHAnsi" w:hAnsiTheme="minorHAnsi" w:cstheme="minorHAnsi"/>
          <w:b/>
          <w:spacing w:val="20"/>
          <w:sz w:val="26"/>
          <w:szCs w:val="26"/>
          <w:lang w:val="en-US"/>
        </w:rPr>
      </w:pPr>
    </w:p>
    <w:p w14:paraId="23DF1A5E" w14:textId="77777777" w:rsidR="00347072" w:rsidRPr="005E0152" w:rsidRDefault="00347072" w:rsidP="00555CC3">
      <w:pPr>
        <w:spacing w:line="276" w:lineRule="auto"/>
        <w:jc w:val="both"/>
        <w:rPr>
          <w:rFonts w:asciiTheme="minorHAnsi" w:hAnsiTheme="minorHAnsi" w:cstheme="minorHAnsi"/>
          <w:b/>
          <w:spacing w:val="20"/>
          <w:sz w:val="26"/>
          <w:szCs w:val="26"/>
          <w:lang w:val="en-US"/>
        </w:rPr>
      </w:pPr>
    </w:p>
    <w:p w14:paraId="2079907E" w14:textId="77777777" w:rsidR="006D4B84" w:rsidRPr="005E0152" w:rsidRDefault="006D4B84" w:rsidP="00555CC3">
      <w:pPr>
        <w:spacing w:line="276" w:lineRule="auto"/>
        <w:jc w:val="both"/>
        <w:rPr>
          <w:rFonts w:asciiTheme="minorHAnsi" w:hAnsiTheme="minorHAnsi" w:cstheme="minorHAnsi"/>
          <w:b/>
          <w:spacing w:val="20"/>
          <w:sz w:val="26"/>
          <w:szCs w:val="26"/>
          <w:lang w:val="en-US"/>
        </w:rPr>
      </w:pPr>
    </w:p>
    <w:p w14:paraId="6ECDFEE3" w14:textId="6A65C5B2" w:rsidR="006C60FC" w:rsidRPr="005E0152" w:rsidRDefault="006C60FC" w:rsidP="006C60FC">
      <w:pPr>
        <w:spacing w:line="276" w:lineRule="auto"/>
        <w:jc w:val="both"/>
        <w:rPr>
          <w:rFonts w:asciiTheme="minorHAnsi" w:hAnsiTheme="minorHAnsi" w:cstheme="minorHAnsi"/>
          <w:b/>
          <w:spacing w:val="20"/>
          <w:sz w:val="26"/>
          <w:szCs w:val="26"/>
          <w:lang w:val="en-US"/>
        </w:rPr>
      </w:pPr>
      <w:r w:rsidRPr="005E0152">
        <w:rPr>
          <w:rFonts w:asciiTheme="minorHAnsi" w:hAnsiTheme="minorHAnsi" w:cstheme="minorHAnsi"/>
          <w:b/>
          <w:spacing w:val="20"/>
          <w:sz w:val="26"/>
          <w:szCs w:val="26"/>
          <w:lang w:val="en-US"/>
        </w:rPr>
        <w:lastRenderedPageBreak/>
        <w:t>SHAREHOLDER STRUCTURE BY TYPE OF INVESTOR</w:t>
      </w:r>
    </w:p>
    <w:p w14:paraId="624D0496" w14:textId="7437196F" w:rsidR="00555CC3" w:rsidRDefault="00555CC3" w:rsidP="00555CC3">
      <w:pPr>
        <w:spacing w:line="276" w:lineRule="auto"/>
        <w:jc w:val="both"/>
        <w:rPr>
          <w:rFonts w:asciiTheme="minorHAnsi" w:hAnsiTheme="minorHAnsi" w:cstheme="minorHAnsi"/>
          <w:b/>
          <w:spacing w:val="20"/>
          <w:sz w:val="26"/>
          <w:szCs w:val="26"/>
          <w:lang w:val="en-US"/>
        </w:rPr>
      </w:pPr>
    </w:p>
    <w:p w14:paraId="00D7A5ED" w14:textId="2A7FD8BB" w:rsidR="00B917AF" w:rsidRPr="005E0152" w:rsidRDefault="00B917AF" w:rsidP="00555CC3">
      <w:pPr>
        <w:spacing w:line="276" w:lineRule="auto"/>
        <w:jc w:val="both"/>
        <w:rPr>
          <w:rFonts w:asciiTheme="minorHAnsi" w:hAnsiTheme="minorHAnsi" w:cstheme="minorHAnsi"/>
          <w:b/>
          <w:spacing w:val="20"/>
          <w:sz w:val="26"/>
          <w:szCs w:val="26"/>
          <w:lang w:val="en-US"/>
        </w:rPr>
      </w:pPr>
      <w:r w:rsidRPr="00B917AF">
        <w:drawing>
          <wp:inline distT="0" distB="0" distL="0" distR="0" wp14:anchorId="07B19CC1" wp14:editId="2F453928">
            <wp:extent cx="5400040" cy="639887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6398877"/>
                    </a:xfrm>
                    <a:prstGeom prst="rect">
                      <a:avLst/>
                    </a:prstGeom>
                    <a:noFill/>
                    <a:ln>
                      <a:noFill/>
                    </a:ln>
                  </pic:spPr>
                </pic:pic>
              </a:graphicData>
            </a:graphic>
          </wp:inline>
        </w:drawing>
      </w:r>
    </w:p>
    <w:p w14:paraId="3FB5C75C" w14:textId="628F8165" w:rsidR="00555CC3" w:rsidRPr="005E0152" w:rsidRDefault="00555CC3" w:rsidP="00555CC3">
      <w:pPr>
        <w:spacing w:line="276" w:lineRule="auto"/>
        <w:jc w:val="both"/>
        <w:rPr>
          <w:rFonts w:asciiTheme="minorHAnsi" w:hAnsiTheme="minorHAnsi" w:cstheme="minorHAnsi"/>
          <w:b/>
          <w:spacing w:val="20"/>
          <w:sz w:val="26"/>
          <w:szCs w:val="26"/>
          <w:lang w:val="en-US"/>
        </w:rPr>
      </w:pPr>
    </w:p>
    <w:p w14:paraId="662B1345" w14:textId="77777777" w:rsidR="003720EF" w:rsidRDefault="003720EF">
      <w:pPr>
        <w:spacing w:after="200" w:line="276" w:lineRule="auto"/>
        <w:rPr>
          <w:rFonts w:asciiTheme="minorHAnsi" w:hAnsiTheme="minorHAnsi" w:cstheme="minorHAnsi"/>
          <w:b/>
          <w:spacing w:val="20"/>
          <w:sz w:val="26"/>
          <w:szCs w:val="26"/>
          <w:lang w:val="en-US"/>
        </w:rPr>
      </w:pPr>
      <w:r>
        <w:rPr>
          <w:rFonts w:asciiTheme="minorHAnsi" w:hAnsiTheme="minorHAnsi" w:cstheme="minorHAnsi"/>
          <w:b/>
          <w:spacing w:val="20"/>
          <w:sz w:val="26"/>
          <w:szCs w:val="26"/>
          <w:lang w:val="en-US"/>
        </w:rPr>
        <w:br w:type="page"/>
      </w:r>
    </w:p>
    <w:p w14:paraId="3BADD83C" w14:textId="32B5091B" w:rsidR="00555CC3" w:rsidRPr="005E0152" w:rsidRDefault="00555CC3" w:rsidP="00555CC3">
      <w:pPr>
        <w:spacing w:line="276" w:lineRule="auto"/>
        <w:jc w:val="both"/>
        <w:rPr>
          <w:rFonts w:asciiTheme="minorHAnsi" w:hAnsiTheme="minorHAnsi" w:cstheme="minorHAnsi"/>
          <w:b/>
          <w:spacing w:val="20"/>
          <w:sz w:val="26"/>
          <w:szCs w:val="26"/>
          <w:lang w:val="en-US"/>
        </w:rPr>
      </w:pPr>
      <w:r w:rsidRPr="005E0152">
        <w:rPr>
          <w:rFonts w:asciiTheme="minorHAnsi" w:hAnsiTheme="minorHAnsi" w:cstheme="minorHAnsi"/>
          <w:b/>
          <w:spacing w:val="20"/>
          <w:sz w:val="26"/>
          <w:szCs w:val="26"/>
          <w:lang w:val="en-US"/>
        </w:rPr>
        <w:lastRenderedPageBreak/>
        <w:t>S</w:t>
      </w:r>
      <w:r w:rsidR="006C60FC" w:rsidRPr="005E0152">
        <w:rPr>
          <w:rFonts w:asciiTheme="minorHAnsi" w:hAnsiTheme="minorHAnsi" w:cstheme="minorHAnsi"/>
          <w:b/>
          <w:spacing w:val="20"/>
          <w:sz w:val="26"/>
          <w:szCs w:val="26"/>
          <w:lang w:val="en-US"/>
        </w:rPr>
        <w:t>ection V:</w:t>
      </w:r>
      <w:r w:rsidRPr="005E0152">
        <w:rPr>
          <w:rFonts w:asciiTheme="minorHAnsi" w:hAnsiTheme="minorHAnsi" w:cstheme="minorHAnsi"/>
          <w:b/>
          <w:spacing w:val="20"/>
          <w:sz w:val="26"/>
          <w:szCs w:val="26"/>
          <w:lang w:val="en-US"/>
        </w:rPr>
        <w:t xml:space="preserve"> A</w:t>
      </w:r>
      <w:r w:rsidR="006C60FC" w:rsidRPr="005E0152">
        <w:rPr>
          <w:rFonts w:asciiTheme="minorHAnsi" w:hAnsiTheme="minorHAnsi" w:cstheme="minorHAnsi"/>
          <w:b/>
          <w:spacing w:val="20"/>
          <w:sz w:val="26"/>
          <w:szCs w:val="26"/>
          <w:lang w:val="en-US"/>
        </w:rPr>
        <w:t>PPENDIX</w:t>
      </w:r>
    </w:p>
    <w:p w14:paraId="174D3809" w14:textId="77777777" w:rsidR="00555CC3" w:rsidRPr="005E0152" w:rsidRDefault="00555CC3" w:rsidP="00555CC3">
      <w:pPr>
        <w:spacing w:line="276" w:lineRule="auto"/>
        <w:jc w:val="both"/>
        <w:rPr>
          <w:rFonts w:asciiTheme="minorHAnsi" w:hAnsiTheme="minorHAnsi" w:cstheme="minorHAnsi"/>
          <w:b/>
          <w:spacing w:val="20"/>
          <w:szCs w:val="24"/>
          <w:lang w:val="en-US"/>
        </w:rPr>
      </w:pPr>
    </w:p>
    <w:p w14:paraId="01586139" w14:textId="4F108244" w:rsidR="006C60FC" w:rsidRPr="005E0152" w:rsidRDefault="006C60FC" w:rsidP="006C60FC">
      <w:pPr>
        <w:spacing w:line="276" w:lineRule="auto"/>
        <w:jc w:val="both"/>
        <w:rPr>
          <w:rFonts w:asciiTheme="minorHAnsi" w:hAnsiTheme="minorHAnsi" w:cstheme="minorHAnsi"/>
          <w:szCs w:val="24"/>
          <w:lang w:val="en-US"/>
        </w:rPr>
      </w:pPr>
      <w:r w:rsidRPr="005E0152">
        <w:rPr>
          <w:rFonts w:asciiTheme="minorHAnsi" w:hAnsiTheme="minorHAnsi" w:cstheme="minorHAnsi"/>
          <w:szCs w:val="24"/>
          <w:lang w:val="en-US"/>
        </w:rPr>
        <w:t>Monthly share prices of FOSSAL S.A.A in the fiscal year of 202</w:t>
      </w:r>
      <w:r w:rsidRPr="005E0152">
        <w:rPr>
          <w:rFonts w:asciiTheme="minorHAnsi" w:hAnsiTheme="minorHAnsi" w:cstheme="minorHAnsi"/>
          <w:szCs w:val="24"/>
          <w:lang w:val="en-US"/>
        </w:rPr>
        <w:t>1</w:t>
      </w:r>
    </w:p>
    <w:p w14:paraId="45082390" w14:textId="77777777" w:rsidR="006C60FC" w:rsidRPr="005E0152" w:rsidRDefault="006C60FC" w:rsidP="00555CC3">
      <w:pPr>
        <w:spacing w:line="276" w:lineRule="auto"/>
        <w:jc w:val="both"/>
        <w:rPr>
          <w:rFonts w:asciiTheme="minorHAnsi" w:hAnsiTheme="minorHAnsi" w:cstheme="minorHAnsi"/>
          <w:szCs w:val="24"/>
          <w:lang w:val="en-US"/>
        </w:rPr>
      </w:pPr>
    </w:p>
    <w:p w14:paraId="1E4C1F4C" w14:textId="77777777" w:rsidR="00555CC3" w:rsidRPr="005E0152" w:rsidRDefault="00555CC3" w:rsidP="00555CC3">
      <w:pPr>
        <w:spacing w:line="276" w:lineRule="auto"/>
        <w:jc w:val="both"/>
        <w:rPr>
          <w:rFonts w:asciiTheme="minorHAnsi" w:hAnsiTheme="minorHAnsi" w:cstheme="minorHAnsi"/>
          <w:b/>
          <w:spacing w:val="20"/>
          <w:szCs w:val="24"/>
          <w:lang w:val="en-US"/>
        </w:rPr>
      </w:pPr>
    </w:p>
    <w:p w14:paraId="2773E68A" w14:textId="1538B7FB" w:rsidR="00555CC3" w:rsidRPr="005E0152" w:rsidRDefault="00037558" w:rsidP="00555CC3">
      <w:pPr>
        <w:pStyle w:val="303"/>
        <w:tabs>
          <w:tab w:val="left" w:pos="0"/>
          <w:tab w:val="left" w:pos="360"/>
        </w:tabs>
        <w:spacing w:line="276" w:lineRule="auto"/>
        <w:jc w:val="both"/>
        <w:rPr>
          <w:rFonts w:asciiTheme="minorHAnsi" w:hAnsiTheme="minorHAnsi" w:cstheme="minorHAnsi"/>
          <w:spacing w:val="20"/>
          <w:sz w:val="24"/>
          <w:szCs w:val="24"/>
        </w:rPr>
      </w:pPr>
      <w:r w:rsidRPr="005E0152">
        <w:rPr>
          <w:lang w:eastAsia="es-MX"/>
        </w:rPr>
        <w:drawing>
          <wp:inline distT="0" distB="0" distL="0" distR="0" wp14:anchorId="3BF6CD63" wp14:editId="0F591A69">
            <wp:extent cx="5400040" cy="47510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4751070"/>
                    </a:xfrm>
                    <a:prstGeom prst="rect">
                      <a:avLst/>
                    </a:prstGeom>
                  </pic:spPr>
                </pic:pic>
              </a:graphicData>
            </a:graphic>
          </wp:inline>
        </w:drawing>
      </w:r>
    </w:p>
    <w:sectPr w:rsidR="00555CC3" w:rsidRPr="005E0152" w:rsidSect="009B1D2A">
      <w:footerReference w:type="even"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648D2" w14:textId="77777777" w:rsidR="00F351AB" w:rsidRDefault="00F351AB" w:rsidP="00104AD9">
      <w:r>
        <w:separator/>
      </w:r>
    </w:p>
  </w:endnote>
  <w:endnote w:type="continuationSeparator" w:id="0">
    <w:p w14:paraId="79523AE7" w14:textId="77777777" w:rsidR="00F351AB" w:rsidRDefault="00F351AB" w:rsidP="0010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3BAC" w14:textId="77777777" w:rsidR="00E25E0B" w:rsidRDefault="00E25E0B" w:rsidP="009B1D2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26E97D" w14:textId="77777777" w:rsidR="00E25E0B" w:rsidRDefault="00E25E0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5F942" w14:textId="0EAF2B82" w:rsidR="00E25E0B" w:rsidRPr="00C21EC8" w:rsidRDefault="00E25E0B" w:rsidP="00C21EC8">
    <w:pPr>
      <w:pStyle w:val="Piedepgina"/>
      <w:framePr w:wrap="around" w:vAnchor="text" w:hAnchor="page" w:x="6577" w:y="109"/>
      <w:rPr>
        <w:rStyle w:val="Nmerodepgina"/>
        <w:rFonts w:ascii="Arial" w:hAnsi="Arial" w:cs="Arial"/>
        <w:sz w:val="18"/>
      </w:rPr>
    </w:pPr>
    <w:r w:rsidRPr="00C21EC8">
      <w:rPr>
        <w:rStyle w:val="Nmerodepgina"/>
        <w:rFonts w:ascii="Arial" w:hAnsi="Arial" w:cs="Arial"/>
        <w:sz w:val="18"/>
      </w:rPr>
      <w:fldChar w:fldCharType="begin"/>
    </w:r>
    <w:r w:rsidRPr="00C21EC8">
      <w:rPr>
        <w:rStyle w:val="Nmerodepgina"/>
        <w:rFonts w:ascii="Arial" w:hAnsi="Arial" w:cs="Arial"/>
        <w:sz w:val="18"/>
      </w:rPr>
      <w:instrText xml:space="preserve">PAGE  </w:instrText>
    </w:r>
    <w:r w:rsidRPr="00C21EC8">
      <w:rPr>
        <w:rStyle w:val="Nmerodepgina"/>
        <w:rFonts w:ascii="Arial" w:hAnsi="Arial" w:cs="Arial"/>
        <w:sz w:val="18"/>
      </w:rPr>
      <w:fldChar w:fldCharType="separate"/>
    </w:r>
    <w:r w:rsidR="003720EF">
      <w:rPr>
        <w:rStyle w:val="Nmerodepgina"/>
        <w:rFonts w:ascii="Arial" w:hAnsi="Arial" w:cs="Arial"/>
        <w:noProof/>
        <w:sz w:val="18"/>
      </w:rPr>
      <w:t>14</w:t>
    </w:r>
    <w:r w:rsidRPr="00C21EC8">
      <w:rPr>
        <w:rStyle w:val="Nmerodepgina"/>
        <w:rFonts w:ascii="Arial" w:hAnsi="Arial" w:cs="Arial"/>
        <w:sz w:val="18"/>
      </w:rPr>
      <w:fldChar w:fldCharType="end"/>
    </w:r>
  </w:p>
  <w:p w14:paraId="0DC829D4" w14:textId="77777777" w:rsidR="00E25E0B" w:rsidRPr="00C21EC8" w:rsidRDefault="00E25E0B">
    <w:pPr>
      <w:pStyle w:val="Piedepgina"/>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D0270" w14:textId="77777777" w:rsidR="00F351AB" w:rsidRDefault="00F351AB" w:rsidP="00104AD9">
      <w:r>
        <w:separator/>
      </w:r>
    </w:p>
  </w:footnote>
  <w:footnote w:type="continuationSeparator" w:id="0">
    <w:p w14:paraId="0F5CE17F" w14:textId="77777777" w:rsidR="00F351AB" w:rsidRDefault="00F351AB" w:rsidP="00104AD9">
      <w:r>
        <w:continuationSeparator/>
      </w:r>
    </w:p>
  </w:footnote>
  <w:footnote w:id="1">
    <w:p w14:paraId="2546E95A" w14:textId="69F96A3F" w:rsidR="00E25E0B" w:rsidRPr="000005A0" w:rsidRDefault="00E25E0B" w:rsidP="00104AD9">
      <w:pPr>
        <w:pStyle w:val="Textonotapie"/>
        <w:rPr>
          <w:rFonts w:asciiTheme="minorHAnsi" w:hAnsiTheme="minorHAnsi" w:cstheme="minorHAnsi"/>
        </w:rPr>
      </w:pPr>
      <w:r w:rsidRPr="00006B26">
        <w:rPr>
          <w:rStyle w:val="Refdenotaalpie"/>
          <w:rFonts w:asciiTheme="minorHAnsi" w:hAnsiTheme="minorHAnsi" w:cstheme="minorHAnsi"/>
          <w:sz w:val="18"/>
        </w:rPr>
        <w:footnoteRef/>
      </w:r>
      <w:r w:rsidRPr="00006B26">
        <w:rPr>
          <w:rFonts w:asciiTheme="minorHAnsi" w:hAnsiTheme="minorHAnsi" w:cstheme="minorHAnsi"/>
          <w:sz w:val="18"/>
        </w:rPr>
        <w:t xml:space="preserve"> </w:t>
      </w:r>
      <w:r w:rsidR="00794C2D">
        <w:rPr>
          <w:rFonts w:asciiTheme="minorHAnsi" w:hAnsiTheme="minorHAnsi" w:cstheme="minorHAnsi"/>
          <w:sz w:val="18"/>
        </w:rPr>
        <w:t>Mr.</w:t>
      </w:r>
      <w:r w:rsidRPr="00006B26">
        <w:rPr>
          <w:rFonts w:asciiTheme="minorHAnsi" w:hAnsiTheme="minorHAnsi" w:cstheme="minorHAnsi"/>
          <w:sz w:val="18"/>
        </w:rPr>
        <w:t xml:space="preserve"> Humberto Nadal Del Carpio</w:t>
      </w:r>
      <w:r w:rsidR="003F6B1B" w:rsidRPr="003F6B1B">
        <w:rPr>
          <w:rFonts w:asciiTheme="minorHAnsi" w:hAnsiTheme="minorHAnsi" w:cstheme="minorHAnsi"/>
          <w:sz w:val="18"/>
        </w:rPr>
        <w:t xml:space="preserve"> </w:t>
      </w:r>
      <w:r w:rsidR="003F6B1B" w:rsidRPr="003720EF">
        <w:rPr>
          <w:rFonts w:asciiTheme="minorHAnsi" w:hAnsiTheme="minorHAnsi" w:cstheme="minorHAnsi"/>
          <w:sz w:val="18"/>
          <w:lang w:val="en-US"/>
        </w:rPr>
        <w:t>represents</w:t>
      </w:r>
      <w:r w:rsidR="003F6B1B" w:rsidRPr="00026F5D">
        <w:rPr>
          <w:rFonts w:asciiTheme="minorHAnsi" w:hAnsiTheme="minorHAnsi" w:cstheme="minorHAnsi"/>
          <w:sz w:val="18"/>
        </w:rPr>
        <w:t xml:space="preserve"> Cementos Pacasmayo S.A.A. in </w:t>
      </w:r>
      <w:r w:rsidR="003F6B1B" w:rsidRPr="003720EF">
        <w:rPr>
          <w:rFonts w:asciiTheme="minorHAnsi" w:hAnsiTheme="minorHAnsi" w:cstheme="minorHAnsi"/>
          <w:sz w:val="18"/>
          <w:lang w:val="en-US"/>
        </w:rPr>
        <w:t>the</w:t>
      </w:r>
      <w:r w:rsidR="003F6B1B" w:rsidRPr="00026F5D">
        <w:rPr>
          <w:rFonts w:asciiTheme="minorHAnsi" w:hAnsiTheme="minorHAnsi" w:cstheme="minorHAnsi"/>
          <w:sz w:val="18"/>
        </w:rPr>
        <w:t xml:space="preserve"> General Management of Fossal S.A.A.</w:t>
      </w:r>
    </w:p>
  </w:footnote>
  <w:footnote w:id="2">
    <w:p w14:paraId="5F2D54A8" w14:textId="77777777" w:rsidR="00F45359" w:rsidRPr="00D5189F" w:rsidRDefault="00F45359" w:rsidP="00F45359">
      <w:pPr>
        <w:pStyle w:val="Textonotapie"/>
        <w:rPr>
          <w:rFonts w:asciiTheme="minorHAnsi" w:hAnsiTheme="minorHAnsi" w:cstheme="minorHAnsi"/>
          <w:b/>
          <w:color w:val="FF0000"/>
        </w:rPr>
      </w:pPr>
      <w:r w:rsidRPr="007540DB">
        <w:rPr>
          <w:rStyle w:val="Refdenotaalpie"/>
          <w:rFonts w:asciiTheme="minorHAnsi" w:hAnsiTheme="minorHAnsi" w:cstheme="minorHAnsi"/>
        </w:rPr>
        <w:footnoteRef/>
      </w:r>
      <w:r w:rsidRPr="00D5189F">
        <w:rPr>
          <w:rFonts w:asciiTheme="minorHAnsi" w:hAnsiTheme="minorHAnsi" w:cstheme="minorHAnsi"/>
        </w:rPr>
        <w:t xml:space="preserve"> CRU / Mining and Energy Planning Unit. Phosphate Rock, Characterization and analysis of the international mineral market in the short, medium and long term </w:t>
      </w:r>
      <w:r>
        <w:rPr>
          <w:rFonts w:asciiTheme="minorHAnsi" w:hAnsiTheme="minorHAnsi" w:cstheme="minorHAnsi"/>
        </w:rPr>
        <w:t>until year 2035</w:t>
      </w:r>
    </w:p>
  </w:footnote>
  <w:footnote w:id="3">
    <w:p w14:paraId="01D03701" w14:textId="34D53EBD" w:rsidR="00C15D7C" w:rsidRPr="00C15D7C" w:rsidRDefault="00C15D7C">
      <w:pPr>
        <w:pStyle w:val="Textonotapie"/>
        <w:rPr>
          <w:rFonts w:asciiTheme="minorHAnsi" w:hAnsiTheme="minorHAnsi" w:cstheme="minorHAnsi"/>
        </w:rPr>
      </w:pPr>
      <w:r>
        <w:rPr>
          <w:rStyle w:val="Refdenotaalpie"/>
        </w:rPr>
        <w:footnoteRef/>
      </w:r>
      <w:r w:rsidRPr="00C15D7C">
        <w:t xml:space="preserve"> </w:t>
      </w:r>
      <w:r w:rsidR="00FC281D">
        <w:rPr>
          <w:rFonts w:asciiTheme="minorHAnsi" w:hAnsiTheme="minorHAnsi" w:cstheme="minorHAnsi"/>
        </w:rPr>
        <w:t xml:space="preserve">BCRP: </w:t>
      </w:r>
      <w:r w:rsidRPr="00C15D7C">
        <w:rPr>
          <w:rFonts w:asciiTheme="minorHAnsi" w:hAnsiTheme="minorHAnsi" w:cstheme="minorHAnsi"/>
        </w:rPr>
        <w:t xml:space="preserve"> Infla</w:t>
      </w:r>
      <w:r w:rsidR="00FC281D">
        <w:rPr>
          <w:rFonts w:asciiTheme="minorHAnsi" w:hAnsiTheme="minorHAnsi" w:cstheme="minorHAnsi"/>
        </w:rPr>
        <w:t>tion report</w:t>
      </w:r>
      <w:r w:rsidR="003B1A2E">
        <w:rPr>
          <w:rFonts w:asciiTheme="minorHAnsi" w:hAnsiTheme="minorHAnsi" w:cstheme="minorHAnsi"/>
        </w:rPr>
        <w:t xml:space="preserve">, </w:t>
      </w:r>
      <w:r w:rsidR="00FC281D">
        <w:rPr>
          <w:rFonts w:asciiTheme="minorHAnsi" w:hAnsiTheme="minorHAnsi" w:cstheme="minorHAnsi"/>
        </w:rPr>
        <w:t>December,</w:t>
      </w:r>
      <w:r w:rsidR="003B1A2E">
        <w:rPr>
          <w:rFonts w:asciiTheme="minorHAnsi" w:hAnsiTheme="minorHAnsi" w:cstheme="minorHAnsi"/>
        </w:rPr>
        <w:t xml:space="preserve"> </w:t>
      </w:r>
      <w:r w:rsidRPr="00C15D7C">
        <w:rPr>
          <w:rFonts w:asciiTheme="minorHAnsi" w:hAnsiTheme="minorHAnsi" w:cstheme="minorHAnsi"/>
        </w:rPr>
        <w:t>2021</w:t>
      </w:r>
      <w:r w:rsidR="003B1A2E">
        <w:rPr>
          <w:rFonts w:asciiTheme="minorHAnsi" w:hAnsiTheme="minorHAnsi" w:cstheme="minorHAnsi"/>
        </w:rPr>
        <w:t>.</w:t>
      </w:r>
    </w:p>
  </w:footnote>
  <w:footnote w:id="4">
    <w:p w14:paraId="2443DE19" w14:textId="63C85F2C" w:rsidR="003B1A2E" w:rsidRPr="003B1A2E" w:rsidRDefault="003B1A2E">
      <w:pPr>
        <w:pStyle w:val="Textonotapie"/>
        <w:rPr>
          <w:rFonts w:asciiTheme="minorHAnsi" w:hAnsiTheme="minorHAnsi" w:cstheme="minorHAnsi"/>
          <w:lang w:val="en-US"/>
        </w:rPr>
      </w:pPr>
      <w:r>
        <w:rPr>
          <w:rStyle w:val="Refdenotaalpie"/>
        </w:rPr>
        <w:footnoteRef/>
      </w:r>
      <w:r w:rsidRPr="003B1A2E">
        <w:rPr>
          <w:lang w:val="en-US"/>
        </w:rPr>
        <w:t xml:space="preserve"> </w:t>
      </w:r>
      <w:r w:rsidRPr="003B1A2E">
        <w:rPr>
          <w:rFonts w:asciiTheme="minorHAnsi" w:hAnsiTheme="minorHAnsi" w:cstheme="minorHAnsi"/>
          <w:lang w:val="en-US"/>
        </w:rPr>
        <w:t xml:space="preserve">IFA: </w:t>
      </w:r>
      <w:r>
        <w:rPr>
          <w:rFonts w:asciiTheme="minorHAnsi" w:hAnsiTheme="minorHAnsi" w:cstheme="minorHAnsi"/>
          <w:lang w:val="en-US"/>
        </w:rPr>
        <w:t>“</w:t>
      </w:r>
      <w:r w:rsidRPr="003B1A2E">
        <w:rPr>
          <w:rFonts w:asciiTheme="minorHAnsi" w:hAnsiTheme="minorHAnsi" w:cstheme="minorHAnsi"/>
          <w:lang w:val="en-US"/>
        </w:rPr>
        <w:t>Why are Fertilizer P</w:t>
      </w:r>
      <w:r>
        <w:rPr>
          <w:rFonts w:asciiTheme="minorHAnsi" w:hAnsiTheme="minorHAnsi" w:cstheme="minorHAnsi"/>
          <w:lang w:val="en-US"/>
        </w:rPr>
        <w:t xml:space="preserve">rices </w:t>
      </w:r>
      <w:r w:rsidR="001847E2">
        <w:rPr>
          <w:rFonts w:asciiTheme="minorHAnsi" w:hAnsiTheme="minorHAnsi" w:cstheme="minorHAnsi"/>
          <w:lang w:val="en-US"/>
        </w:rPr>
        <w:t>So</w:t>
      </w:r>
      <w:r w:rsidR="00FC655D">
        <w:rPr>
          <w:rFonts w:asciiTheme="minorHAnsi" w:hAnsiTheme="minorHAnsi" w:cstheme="minorHAnsi"/>
          <w:lang w:val="en-US"/>
        </w:rPr>
        <w:t xml:space="preserve"> High”, February,</w:t>
      </w:r>
      <w:r>
        <w:rPr>
          <w:rFonts w:asciiTheme="minorHAnsi" w:hAnsiTheme="minorHAnsi" w:cstheme="minorHAnsi"/>
          <w:lang w:val="en-US"/>
        </w:rPr>
        <w:t xml:space="preserve"> 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D741C"/>
    <w:multiLevelType w:val="singleLevel"/>
    <w:tmpl w:val="D43695E6"/>
    <w:lvl w:ilvl="0">
      <w:numFmt w:val="none"/>
      <w:lvlText w:val=""/>
      <w:legacy w:legacy="1" w:legacySpace="0" w:legacyIndent="360"/>
      <w:lvlJc w:val="left"/>
      <w:pPr>
        <w:ind w:left="360" w:hanging="360"/>
      </w:pPr>
      <w:rPr>
        <w:rFonts w:ascii="Wingdings" w:hAnsi="Wingdings" w:cs="Times New Roman" w:hint="default"/>
        <w:sz w:val="24"/>
      </w:rPr>
    </w:lvl>
  </w:abstractNum>
  <w:abstractNum w:abstractNumId="1" w15:restartNumberingAfterBreak="0">
    <w:nsid w:val="183D2005"/>
    <w:multiLevelType w:val="hybridMultilevel"/>
    <w:tmpl w:val="4E1E3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3A4E6F"/>
    <w:multiLevelType w:val="hybridMultilevel"/>
    <w:tmpl w:val="41CEE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59409F8"/>
    <w:multiLevelType w:val="singleLevel"/>
    <w:tmpl w:val="D43695E6"/>
    <w:lvl w:ilvl="0">
      <w:numFmt w:val="none"/>
      <w:lvlText w:val=""/>
      <w:legacy w:legacy="1" w:legacySpace="0" w:legacyIndent="360"/>
      <w:lvlJc w:val="left"/>
      <w:pPr>
        <w:ind w:left="360" w:hanging="360"/>
      </w:pPr>
      <w:rPr>
        <w:rFonts w:ascii="Wingdings" w:hAnsi="Wingdings" w:cs="Times New Roman" w:hint="default"/>
        <w:sz w:val="24"/>
      </w:rPr>
    </w:lvl>
  </w:abstractNum>
  <w:abstractNum w:abstractNumId="4" w15:restartNumberingAfterBreak="0">
    <w:nsid w:val="77B40AD9"/>
    <w:multiLevelType w:val="multilevel"/>
    <w:tmpl w:val="7D1C181E"/>
    <w:lvl w:ilvl="0">
      <w:start w:val="1"/>
      <w:numFmt w:val="upperLetter"/>
      <w:lvlText w:val="%1."/>
      <w:lvlJc w:val="left"/>
      <w:pPr>
        <w:tabs>
          <w:tab w:val="num" w:pos="360"/>
        </w:tabs>
        <w:ind w:left="360" w:hanging="360"/>
      </w:pPr>
      <w:rPr>
        <w:rFonts w:cs="Times New Roman" w:hint="default"/>
        <w:sz w:val="20"/>
      </w:rPr>
    </w:lvl>
    <w:lvl w:ilvl="1">
      <w:start w:val="1"/>
      <w:numFmt w:val="upperLetter"/>
      <w:lvlText w:val="%2)"/>
      <w:legacy w:legacy="1" w:legacySpace="0" w:legacyIndent="0"/>
      <w:lvlJc w:val="left"/>
      <w:rPr>
        <w:rFonts w:ascii="Times New Roman" w:hAnsi="Times New Roman" w:cs="Times New Roman" w:hint="default"/>
        <w:sz w:val="20"/>
      </w:rPr>
    </w:lvl>
    <w:lvl w:ilvl="2">
      <w:start w:val="1"/>
      <w:numFmt w:val="upperLetter"/>
      <w:lvlText w:val="%3)"/>
      <w:legacy w:legacy="1" w:legacySpace="0" w:legacyIndent="0"/>
      <w:lvlJc w:val="left"/>
      <w:rPr>
        <w:rFonts w:ascii="Times New Roman" w:hAnsi="Times New Roman" w:cs="Times New Roman" w:hint="default"/>
        <w:sz w:val="20"/>
      </w:rPr>
    </w:lvl>
    <w:lvl w:ilvl="3">
      <w:start w:val="1"/>
      <w:numFmt w:val="upperLetter"/>
      <w:lvlText w:val="%4)"/>
      <w:legacy w:legacy="1" w:legacySpace="0" w:legacyIndent="0"/>
      <w:lvlJc w:val="left"/>
      <w:rPr>
        <w:rFonts w:ascii="Times New Roman" w:hAnsi="Times New Roman" w:cs="Times New Roman" w:hint="default"/>
        <w:sz w:val="20"/>
      </w:rPr>
    </w:lvl>
    <w:lvl w:ilvl="4">
      <w:start w:val="1"/>
      <w:numFmt w:val="upperLetter"/>
      <w:lvlText w:val="%5)"/>
      <w:legacy w:legacy="1" w:legacySpace="0" w:legacyIndent="0"/>
      <w:lvlJc w:val="left"/>
      <w:rPr>
        <w:rFonts w:ascii="Times New Roman" w:hAnsi="Times New Roman" w:cs="Times New Roman" w:hint="default"/>
        <w:sz w:val="20"/>
      </w:rPr>
    </w:lvl>
    <w:lvl w:ilvl="5">
      <w:start w:val="1"/>
      <w:numFmt w:val="upperLetter"/>
      <w:lvlText w:val="%6)"/>
      <w:legacy w:legacy="1" w:legacySpace="0" w:legacyIndent="0"/>
      <w:lvlJc w:val="left"/>
      <w:rPr>
        <w:rFonts w:ascii="Times New Roman" w:hAnsi="Times New Roman" w:cs="Times New Roman" w:hint="default"/>
        <w:sz w:val="20"/>
      </w:rPr>
    </w:lvl>
    <w:lvl w:ilvl="6">
      <w:start w:val="1"/>
      <w:numFmt w:val="upperLetter"/>
      <w:lvlText w:val="%7)"/>
      <w:legacy w:legacy="1" w:legacySpace="0" w:legacyIndent="0"/>
      <w:lvlJc w:val="left"/>
      <w:rPr>
        <w:rFonts w:ascii="Times New Roman" w:hAnsi="Times New Roman" w:cs="Times New Roman" w:hint="default"/>
        <w:sz w:val="20"/>
      </w:rPr>
    </w:lvl>
    <w:lvl w:ilvl="7">
      <w:start w:val="1"/>
      <w:numFmt w:val="upperLetter"/>
      <w:lvlText w:val="%8)"/>
      <w:legacy w:legacy="1" w:legacySpace="0" w:legacyIndent="0"/>
      <w:lvlJc w:val="left"/>
      <w:rPr>
        <w:rFonts w:ascii="Times New Roman" w:hAnsi="Times New Roman" w:cs="Times New Roman" w:hint="default"/>
        <w:sz w:val="20"/>
      </w:rPr>
    </w:lvl>
    <w:lvl w:ilvl="8">
      <w:start w:val="1"/>
      <w:numFmt w:val="upperLetter"/>
      <w:lvlText w:val="%9)"/>
      <w:legacy w:legacy="1" w:legacySpace="0" w:legacyIndent="0"/>
      <w:lvlJc w:val="left"/>
      <w:rPr>
        <w:rFonts w:ascii="Times New Roman" w:hAnsi="Times New Roman" w:cs="Times New Roman"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PE" w:vendorID="64" w:dllVersion="131078" w:nlCheck="1" w:checkStyle="0"/>
  <w:activeWritingStyle w:appName="MSWord" w:lang="en-US" w:vendorID="64" w:dllVersion="131078"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D9"/>
    <w:rsid w:val="000005A0"/>
    <w:rsid w:val="0000097A"/>
    <w:rsid w:val="00006B26"/>
    <w:rsid w:val="0001284F"/>
    <w:rsid w:val="0002275B"/>
    <w:rsid w:val="00027C8F"/>
    <w:rsid w:val="00037558"/>
    <w:rsid w:val="0004091B"/>
    <w:rsid w:val="00052DC7"/>
    <w:rsid w:val="00061272"/>
    <w:rsid w:val="0006152C"/>
    <w:rsid w:val="0006410B"/>
    <w:rsid w:val="000654EF"/>
    <w:rsid w:val="00071492"/>
    <w:rsid w:val="00091CA5"/>
    <w:rsid w:val="00094342"/>
    <w:rsid w:val="000945AF"/>
    <w:rsid w:val="00094FF2"/>
    <w:rsid w:val="000E13EF"/>
    <w:rsid w:val="000E3CA4"/>
    <w:rsid w:val="00104AD9"/>
    <w:rsid w:val="001105ED"/>
    <w:rsid w:val="001144B7"/>
    <w:rsid w:val="00115A7F"/>
    <w:rsid w:val="00125C19"/>
    <w:rsid w:val="00132115"/>
    <w:rsid w:val="00135857"/>
    <w:rsid w:val="00135FA6"/>
    <w:rsid w:val="00147C3E"/>
    <w:rsid w:val="00170623"/>
    <w:rsid w:val="00171C56"/>
    <w:rsid w:val="00175B27"/>
    <w:rsid w:val="001847E2"/>
    <w:rsid w:val="00197316"/>
    <w:rsid w:val="001A1FA8"/>
    <w:rsid w:val="001A76E6"/>
    <w:rsid w:val="001C2122"/>
    <w:rsid w:val="001C68B4"/>
    <w:rsid w:val="001D6D76"/>
    <w:rsid w:val="001D702A"/>
    <w:rsid w:val="001E00BD"/>
    <w:rsid w:val="001E3198"/>
    <w:rsid w:val="001E7F43"/>
    <w:rsid w:val="001F229A"/>
    <w:rsid w:val="001F3C20"/>
    <w:rsid w:val="001F5D8A"/>
    <w:rsid w:val="00213964"/>
    <w:rsid w:val="00214FF5"/>
    <w:rsid w:val="00220352"/>
    <w:rsid w:val="002211A8"/>
    <w:rsid w:val="00227551"/>
    <w:rsid w:val="00230F0D"/>
    <w:rsid w:val="002317FF"/>
    <w:rsid w:val="0023438A"/>
    <w:rsid w:val="0023533A"/>
    <w:rsid w:val="0023758F"/>
    <w:rsid w:val="00252D5A"/>
    <w:rsid w:val="00254176"/>
    <w:rsid w:val="00255397"/>
    <w:rsid w:val="0026657F"/>
    <w:rsid w:val="0027023D"/>
    <w:rsid w:val="00273FFA"/>
    <w:rsid w:val="00275E36"/>
    <w:rsid w:val="002847E8"/>
    <w:rsid w:val="00290426"/>
    <w:rsid w:val="002A120A"/>
    <w:rsid w:val="002A196B"/>
    <w:rsid w:val="002A379E"/>
    <w:rsid w:val="002A37CE"/>
    <w:rsid w:val="002A6975"/>
    <w:rsid w:val="002B0B36"/>
    <w:rsid w:val="002B50A0"/>
    <w:rsid w:val="002B6812"/>
    <w:rsid w:val="002C6BF0"/>
    <w:rsid w:val="002D3795"/>
    <w:rsid w:val="002D643A"/>
    <w:rsid w:val="002D7AD1"/>
    <w:rsid w:val="002E20A2"/>
    <w:rsid w:val="002E24D8"/>
    <w:rsid w:val="002E2DD4"/>
    <w:rsid w:val="002E4F69"/>
    <w:rsid w:val="002F2C56"/>
    <w:rsid w:val="002F65C8"/>
    <w:rsid w:val="00322846"/>
    <w:rsid w:val="00322B9B"/>
    <w:rsid w:val="00326853"/>
    <w:rsid w:val="003270C5"/>
    <w:rsid w:val="00330DC2"/>
    <w:rsid w:val="0034672D"/>
    <w:rsid w:val="00347072"/>
    <w:rsid w:val="00350507"/>
    <w:rsid w:val="00355CB4"/>
    <w:rsid w:val="003579C3"/>
    <w:rsid w:val="0036145C"/>
    <w:rsid w:val="003633C0"/>
    <w:rsid w:val="003639F0"/>
    <w:rsid w:val="00370AA8"/>
    <w:rsid w:val="003720EF"/>
    <w:rsid w:val="0037222D"/>
    <w:rsid w:val="003757C8"/>
    <w:rsid w:val="00380E2F"/>
    <w:rsid w:val="00381289"/>
    <w:rsid w:val="003856D5"/>
    <w:rsid w:val="0038746D"/>
    <w:rsid w:val="0038772D"/>
    <w:rsid w:val="00387939"/>
    <w:rsid w:val="003939AD"/>
    <w:rsid w:val="003B1A2E"/>
    <w:rsid w:val="003B449F"/>
    <w:rsid w:val="003C56A5"/>
    <w:rsid w:val="003C769E"/>
    <w:rsid w:val="003D2D26"/>
    <w:rsid w:val="003D38C0"/>
    <w:rsid w:val="003E6245"/>
    <w:rsid w:val="003E6477"/>
    <w:rsid w:val="003F6B1B"/>
    <w:rsid w:val="00405800"/>
    <w:rsid w:val="004059DB"/>
    <w:rsid w:val="004166F3"/>
    <w:rsid w:val="00417265"/>
    <w:rsid w:val="00424F9B"/>
    <w:rsid w:val="00436C8E"/>
    <w:rsid w:val="00445A24"/>
    <w:rsid w:val="00451141"/>
    <w:rsid w:val="0045501E"/>
    <w:rsid w:val="00455876"/>
    <w:rsid w:val="00460671"/>
    <w:rsid w:val="00476BE0"/>
    <w:rsid w:val="00486922"/>
    <w:rsid w:val="00493A97"/>
    <w:rsid w:val="004956D0"/>
    <w:rsid w:val="004A3A9E"/>
    <w:rsid w:val="004A5852"/>
    <w:rsid w:val="004A5B50"/>
    <w:rsid w:val="004B0BA5"/>
    <w:rsid w:val="004C5A26"/>
    <w:rsid w:val="004C64C3"/>
    <w:rsid w:val="004D19C7"/>
    <w:rsid w:val="004D3CBD"/>
    <w:rsid w:val="004D6021"/>
    <w:rsid w:val="004E148F"/>
    <w:rsid w:val="004E43FA"/>
    <w:rsid w:val="004E7B85"/>
    <w:rsid w:val="004F047C"/>
    <w:rsid w:val="004F121E"/>
    <w:rsid w:val="00507966"/>
    <w:rsid w:val="0051412A"/>
    <w:rsid w:val="005249A0"/>
    <w:rsid w:val="005375A9"/>
    <w:rsid w:val="00546684"/>
    <w:rsid w:val="00550152"/>
    <w:rsid w:val="0055493A"/>
    <w:rsid w:val="00555CC3"/>
    <w:rsid w:val="005612C3"/>
    <w:rsid w:val="00565E3E"/>
    <w:rsid w:val="005720AD"/>
    <w:rsid w:val="005722A4"/>
    <w:rsid w:val="005764F1"/>
    <w:rsid w:val="00577AAE"/>
    <w:rsid w:val="00577C2E"/>
    <w:rsid w:val="005833EA"/>
    <w:rsid w:val="005964A8"/>
    <w:rsid w:val="005B611D"/>
    <w:rsid w:val="005B72CD"/>
    <w:rsid w:val="005C65D7"/>
    <w:rsid w:val="005C6EC3"/>
    <w:rsid w:val="005D636D"/>
    <w:rsid w:val="005E0152"/>
    <w:rsid w:val="005E4A15"/>
    <w:rsid w:val="005E5BED"/>
    <w:rsid w:val="005E7737"/>
    <w:rsid w:val="005F2528"/>
    <w:rsid w:val="005F49ED"/>
    <w:rsid w:val="005F4AC9"/>
    <w:rsid w:val="005F5F33"/>
    <w:rsid w:val="0060343F"/>
    <w:rsid w:val="0060654B"/>
    <w:rsid w:val="006115DA"/>
    <w:rsid w:val="00621A06"/>
    <w:rsid w:val="00630E32"/>
    <w:rsid w:val="006412CA"/>
    <w:rsid w:val="006450F1"/>
    <w:rsid w:val="00646790"/>
    <w:rsid w:val="00661D3C"/>
    <w:rsid w:val="00675769"/>
    <w:rsid w:val="006964ED"/>
    <w:rsid w:val="006A3DA4"/>
    <w:rsid w:val="006C4082"/>
    <w:rsid w:val="006C60FC"/>
    <w:rsid w:val="006D3EBD"/>
    <w:rsid w:val="006D4B84"/>
    <w:rsid w:val="006D71BF"/>
    <w:rsid w:val="006E23F7"/>
    <w:rsid w:val="006E4EBA"/>
    <w:rsid w:val="006E77C9"/>
    <w:rsid w:val="006F4D90"/>
    <w:rsid w:val="006F5868"/>
    <w:rsid w:val="006F7947"/>
    <w:rsid w:val="0070045E"/>
    <w:rsid w:val="00700F1F"/>
    <w:rsid w:val="00716F63"/>
    <w:rsid w:val="00724E44"/>
    <w:rsid w:val="007276BA"/>
    <w:rsid w:val="007277EF"/>
    <w:rsid w:val="007302A5"/>
    <w:rsid w:val="007306C4"/>
    <w:rsid w:val="00730908"/>
    <w:rsid w:val="007318EE"/>
    <w:rsid w:val="00737437"/>
    <w:rsid w:val="007413CE"/>
    <w:rsid w:val="00741AA4"/>
    <w:rsid w:val="00745ABB"/>
    <w:rsid w:val="007540DB"/>
    <w:rsid w:val="007713EF"/>
    <w:rsid w:val="00772A58"/>
    <w:rsid w:val="00775AD5"/>
    <w:rsid w:val="007767C4"/>
    <w:rsid w:val="00781C24"/>
    <w:rsid w:val="00784103"/>
    <w:rsid w:val="0078530A"/>
    <w:rsid w:val="007878C7"/>
    <w:rsid w:val="0079420C"/>
    <w:rsid w:val="00794C2D"/>
    <w:rsid w:val="00795A71"/>
    <w:rsid w:val="007A2B8E"/>
    <w:rsid w:val="007A6000"/>
    <w:rsid w:val="007C08FA"/>
    <w:rsid w:val="007C25B1"/>
    <w:rsid w:val="007C5597"/>
    <w:rsid w:val="007D2483"/>
    <w:rsid w:val="007D386A"/>
    <w:rsid w:val="007E003C"/>
    <w:rsid w:val="007E1281"/>
    <w:rsid w:val="007E4090"/>
    <w:rsid w:val="007E579E"/>
    <w:rsid w:val="00801639"/>
    <w:rsid w:val="0081327D"/>
    <w:rsid w:val="00823169"/>
    <w:rsid w:val="00831DBB"/>
    <w:rsid w:val="00842369"/>
    <w:rsid w:val="008435A3"/>
    <w:rsid w:val="00845CDC"/>
    <w:rsid w:val="0085057A"/>
    <w:rsid w:val="00851023"/>
    <w:rsid w:val="00851F6A"/>
    <w:rsid w:val="008708A5"/>
    <w:rsid w:val="0088238A"/>
    <w:rsid w:val="00886FE9"/>
    <w:rsid w:val="0089189C"/>
    <w:rsid w:val="008956E9"/>
    <w:rsid w:val="008A2DE4"/>
    <w:rsid w:val="008A64AA"/>
    <w:rsid w:val="008A6DFD"/>
    <w:rsid w:val="008B485C"/>
    <w:rsid w:val="008E23AC"/>
    <w:rsid w:val="008F0B0B"/>
    <w:rsid w:val="008F54FA"/>
    <w:rsid w:val="00901A54"/>
    <w:rsid w:val="009135E3"/>
    <w:rsid w:val="0092063F"/>
    <w:rsid w:val="009210AA"/>
    <w:rsid w:val="00932222"/>
    <w:rsid w:val="009342E9"/>
    <w:rsid w:val="00937B68"/>
    <w:rsid w:val="00940C68"/>
    <w:rsid w:val="00944CF3"/>
    <w:rsid w:val="00946EDA"/>
    <w:rsid w:val="00954FD3"/>
    <w:rsid w:val="00963107"/>
    <w:rsid w:val="0096362B"/>
    <w:rsid w:val="009700FB"/>
    <w:rsid w:val="009818F7"/>
    <w:rsid w:val="00986D2B"/>
    <w:rsid w:val="00995C5B"/>
    <w:rsid w:val="009A1B38"/>
    <w:rsid w:val="009A215A"/>
    <w:rsid w:val="009B1D2A"/>
    <w:rsid w:val="009B35DF"/>
    <w:rsid w:val="009B6574"/>
    <w:rsid w:val="009B7E06"/>
    <w:rsid w:val="009B7FCD"/>
    <w:rsid w:val="009D238A"/>
    <w:rsid w:val="009E2993"/>
    <w:rsid w:val="009F4C5B"/>
    <w:rsid w:val="00A01F7A"/>
    <w:rsid w:val="00A050DF"/>
    <w:rsid w:val="00A066C3"/>
    <w:rsid w:val="00A1588C"/>
    <w:rsid w:val="00A2104D"/>
    <w:rsid w:val="00A23DCB"/>
    <w:rsid w:val="00A30AC1"/>
    <w:rsid w:val="00A31285"/>
    <w:rsid w:val="00A31328"/>
    <w:rsid w:val="00A3633E"/>
    <w:rsid w:val="00A37512"/>
    <w:rsid w:val="00A42653"/>
    <w:rsid w:val="00A61210"/>
    <w:rsid w:val="00A761A9"/>
    <w:rsid w:val="00A77648"/>
    <w:rsid w:val="00A8154B"/>
    <w:rsid w:val="00A866D9"/>
    <w:rsid w:val="00AA7DBA"/>
    <w:rsid w:val="00AB3E0A"/>
    <w:rsid w:val="00AB792E"/>
    <w:rsid w:val="00AE4466"/>
    <w:rsid w:val="00AF5723"/>
    <w:rsid w:val="00B13652"/>
    <w:rsid w:val="00B17505"/>
    <w:rsid w:val="00B175DF"/>
    <w:rsid w:val="00B31950"/>
    <w:rsid w:val="00B40304"/>
    <w:rsid w:val="00B435B5"/>
    <w:rsid w:val="00B63AF8"/>
    <w:rsid w:val="00B65D8A"/>
    <w:rsid w:val="00B74988"/>
    <w:rsid w:val="00B7662F"/>
    <w:rsid w:val="00B83A0E"/>
    <w:rsid w:val="00B917AF"/>
    <w:rsid w:val="00B95CD7"/>
    <w:rsid w:val="00BA7004"/>
    <w:rsid w:val="00BA7B8E"/>
    <w:rsid w:val="00BB47C3"/>
    <w:rsid w:val="00BB700C"/>
    <w:rsid w:val="00BC5E2B"/>
    <w:rsid w:val="00BD2705"/>
    <w:rsid w:val="00BD3A12"/>
    <w:rsid w:val="00BE3E81"/>
    <w:rsid w:val="00BE3FF4"/>
    <w:rsid w:val="00BF01D9"/>
    <w:rsid w:val="00BF0803"/>
    <w:rsid w:val="00C0053B"/>
    <w:rsid w:val="00C00C1A"/>
    <w:rsid w:val="00C026D5"/>
    <w:rsid w:val="00C064AA"/>
    <w:rsid w:val="00C1005A"/>
    <w:rsid w:val="00C10977"/>
    <w:rsid w:val="00C10A52"/>
    <w:rsid w:val="00C15D7C"/>
    <w:rsid w:val="00C21306"/>
    <w:rsid w:val="00C21EC8"/>
    <w:rsid w:val="00C22CE9"/>
    <w:rsid w:val="00C22E27"/>
    <w:rsid w:val="00C268FA"/>
    <w:rsid w:val="00C27B89"/>
    <w:rsid w:val="00C336A7"/>
    <w:rsid w:val="00C52C74"/>
    <w:rsid w:val="00C55E18"/>
    <w:rsid w:val="00C6629F"/>
    <w:rsid w:val="00C738E1"/>
    <w:rsid w:val="00C75D54"/>
    <w:rsid w:val="00C81365"/>
    <w:rsid w:val="00C85878"/>
    <w:rsid w:val="00C85A36"/>
    <w:rsid w:val="00C86709"/>
    <w:rsid w:val="00C9318F"/>
    <w:rsid w:val="00C960A3"/>
    <w:rsid w:val="00CA2F5D"/>
    <w:rsid w:val="00CB0DDB"/>
    <w:rsid w:val="00CB15B4"/>
    <w:rsid w:val="00CB18E4"/>
    <w:rsid w:val="00CB7E92"/>
    <w:rsid w:val="00CD321B"/>
    <w:rsid w:val="00CD6F1F"/>
    <w:rsid w:val="00CD7D45"/>
    <w:rsid w:val="00CE3A2B"/>
    <w:rsid w:val="00CE4A55"/>
    <w:rsid w:val="00CE6021"/>
    <w:rsid w:val="00CF5C57"/>
    <w:rsid w:val="00CF7CE2"/>
    <w:rsid w:val="00D029D6"/>
    <w:rsid w:val="00D0580C"/>
    <w:rsid w:val="00D07B9F"/>
    <w:rsid w:val="00D14A9D"/>
    <w:rsid w:val="00D14F47"/>
    <w:rsid w:val="00D17A88"/>
    <w:rsid w:val="00D242BD"/>
    <w:rsid w:val="00D338ED"/>
    <w:rsid w:val="00D42A68"/>
    <w:rsid w:val="00D46289"/>
    <w:rsid w:val="00D577BF"/>
    <w:rsid w:val="00D75BC8"/>
    <w:rsid w:val="00D923C5"/>
    <w:rsid w:val="00DA2508"/>
    <w:rsid w:val="00DA4F66"/>
    <w:rsid w:val="00DB04BF"/>
    <w:rsid w:val="00DC57D1"/>
    <w:rsid w:val="00DC663D"/>
    <w:rsid w:val="00DD0FFF"/>
    <w:rsid w:val="00DD1F87"/>
    <w:rsid w:val="00DD2263"/>
    <w:rsid w:val="00DD753D"/>
    <w:rsid w:val="00DE132D"/>
    <w:rsid w:val="00DF1635"/>
    <w:rsid w:val="00DF3850"/>
    <w:rsid w:val="00DF38C7"/>
    <w:rsid w:val="00E0247E"/>
    <w:rsid w:val="00E1164E"/>
    <w:rsid w:val="00E126CB"/>
    <w:rsid w:val="00E163F0"/>
    <w:rsid w:val="00E20420"/>
    <w:rsid w:val="00E25E0B"/>
    <w:rsid w:val="00E30755"/>
    <w:rsid w:val="00E30FD8"/>
    <w:rsid w:val="00E31AD0"/>
    <w:rsid w:val="00E33E24"/>
    <w:rsid w:val="00E4060F"/>
    <w:rsid w:val="00E43DC9"/>
    <w:rsid w:val="00E44887"/>
    <w:rsid w:val="00E5638C"/>
    <w:rsid w:val="00E5796C"/>
    <w:rsid w:val="00E60183"/>
    <w:rsid w:val="00E61958"/>
    <w:rsid w:val="00E671A8"/>
    <w:rsid w:val="00E74B56"/>
    <w:rsid w:val="00EB089E"/>
    <w:rsid w:val="00EB517D"/>
    <w:rsid w:val="00EB5203"/>
    <w:rsid w:val="00EC096A"/>
    <w:rsid w:val="00ED0E7F"/>
    <w:rsid w:val="00EE60EC"/>
    <w:rsid w:val="00F054EC"/>
    <w:rsid w:val="00F0740F"/>
    <w:rsid w:val="00F0758A"/>
    <w:rsid w:val="00F10309"/>
    <w:rsid w:val="00F10E6C"/>
    <w:rsid w:val="00F13AAC"/>
    <w:rsid w:val="00F1404A"/>
    <w:rsid w:val="00F20B35"/>
    <w:rsid w:val="00F268EA"/>
    <w:rsid w:val="00F27436"/>
    <w:rsid w:val="00F31EDC"/>
    <w:rsid w:val="00F351AB"/>
    <w:rsid w:val="00F40E0D"/>
    <w:rsid w:val="00F41886"/>
    <w:rsid w:val="00F45359"/>
    <w:rsid w:val="00F62825"/>
    <w:rsid w:val="00F64DBA"/>
    <w:rsid w:val="00F72ED5"/>
    <w:rsid w:val="00F76FE3"/>
    <w:rsid w:val="00F8391B"/>
    <w:rsid w:val="00F846F4"/>
    <w:rsid w:val="00F902A7"/>
    <w:rsid w:val="00FA75B8"/>
    <w:rsid w:val="00FB3C5D"/>
    <w:rsid w:val="00FC281D"/>
    <w:rsid w:val="00FC655D"/>
    <w:rsid w:val="00FD09D3"/>
    <w:rsid w:val="00FD5766"/>
    <w:rsid w:val="00FD5A2E"/>
    <w:rsid w:val="00FE1CAE"/>
    <w:rsid w:val="00FE4FA8"/>
    <w:rsid w:val="00FF0C18"/>
    <w:rsid w:val="00FF18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9A4C"/>
  <w15:docId w15:val="{88343CFE-2ED7-4EBA-AD41-48881B2C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AD9"/>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uiPriority w:val="99"/>
    <w:rsid w:val="00104AD9"/>
  </w:style>
  <w:style w:type="paragraph" w:styleId="Piedepgina">
    <w:name w:val="footer"/>
    <w:basedOn w:val="Normal"/>
    <w:link w:val="PiedepginaCar"/>
    <w:uiPriority w:val="99"/>
    <w:rsid w:val="00104AD9"/>
    <w:pPr>
      <w:tabs>
        <w:tab w:val="center" w:pos="4419"/>
        <w:tab w:val="right" w:pos="8838"/>
      </w:tabs>
    </w:pPr>
    <w:rPr>
      <w:sz w:val="20"/>
    </w:rPr>
  </w:style>
  <w:style w:type="character" w:customStyle="1" w:styleId="PiedepginaCar">
    <w:name w:val="Pie de página Car"/>
    <w:basedOn w:val="Fuentedeprrafopredeter"/>
    <w:link w:val="Piedepgina"/>
    <w:uiPriority w:val="99"/>
    <w:rsid w:val="00104AD9"/>
    <w:rPr>
      <w:rFonts w:ascii="Times New Roman" w:eastAsia="Times New Roman" w:hAnsi="Times New Roman" w:cs="Times New Roman"/>
      <w:sz w:val="20"/>
      <w:szCs w:val="20"/>
      <w:lang w:eastAsia="es-ES"/>
    </w:rPr>
  </w:style>
  <w:style w:type="paragraph" w:customStyle="1" w:styleId="296">
    <w:name w:val="296"/>
    <w:basedOn w:val="Normal"/>
    <w:uiPriority w:val="99"/>
    <w:rsid w:val="00104AD9"/>
    <w:rPr>
      <w:sz w:val="20"/>
      <w:lang w:val="en-US"/>
    </w:rPr>
  </w:style>
  <w:style w:type="paragraph" w:customStyle="1" w:styleId="303">
    <w:name w:val="303"/>
    <w:basedOn w:val="Normal"/>
    <w:uiPriority w:val="99"/>
    <w:rsid w:val="00104AD9"/>
    <w:rPr>
      <w:sz w:val="20"/>
      <w:lang w:val="en-US"/>
    </w:rPr>
  </w:style>
  <w:style w:type="character" w:styleId="Nmerodepgina">
    <w:name w:val="page number"/>
    <w:basedOn w:val="Fuentedeprrafopredeter"/>
    <w:uiPriority w:val="99"/>
    <w:rsid w:val="00104AD9"/>
    <w:rPr>
      <w:rFonts w:cs="Times New Roman"/>
    </w:rPr>
  </w:style>
  <w:style w:type="paragraph" w:styleId="Textoindependiente">
    <w:name w:val="Body Text"/>
    <w:basedOn w:val="Normal"/>
    <w:link w:val="TextoindependienteCar"/>
    <w:uiPriority w:val="99"/>
    <w:rsid w:val="00104AD9"/>
    <w:pPr>
      <w:spacing w:after="120"/>
    </w:pPr>
    <w:rPr>
      <w:sz w:val="20"/>
    </w:rPr>
  </w:style>
  <w:style w:type="character" w:customStyle="1" w:styleId="TextoindependienteCar">
    <w:name w:val="Texto independiente Car"/>
    <w:basedOn w:val="Fuentedeprrafopredeter"/>
    <w:link w:val="Textoindependiente"/>
    <w:uiPriority w:val="99"/>
    <w:rsid w:val="00104AD9"/>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semiHidden/>
    <w:rsid w:val="00104AD9"/>
    <w:rPr>
      <w:sz w:val="20"/>
    </w:rPr>
  </w:style>
  <w:style w:type="character" w:customStyle="1" w:styleId="TextonotapieCar">
    <w:name w:val="Texto nota pie Car"/>
    <w:basedOn w:val="Fuentedeprrafopredeter"/>
    <w:link w:val="Textonotapie"/>
    <w:uiPriority w:val="99"/>
    <w:semiHidden/>
    <w:rsid w:val="00104AD9"/>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rsid w:val="00104AD9"/>
    <w:rPr>
      <w:rFonts w:cs="Times New Roman"/>
      <w:vertAlign w:val="superscript"/>
    </w:rPr>
  </w:style>
  <w:style w:type="paragraph" w:styleId="Textodeglobo">
    <w:name w:val="Balloon Text"/>
    <w:basedOn w:val="Normal"/>
    <w:link w:val="TextodegloboCar"/>
    <w:uiPriority w:val="99"/>
    <w:semiHidden/>
    <w:unhideWhenUsed/>
    <w:rsid w:val="00104AD9"/>
    <w:rPr>
      <w:rFonts w:ascii="Tahoma" w:hAnsi="Tahoma" w:cs="Tahoma"/>
      <w:sz w:val="16"/>
      <w:szCs w:val="16"/>
    </w:rPr>
  </w:style>
  <w:style w:type="character" w:customStyle="1" w:styleId="TextodegloboCar">
    <w:name w:val="Texto de globo Car"/>
    <w:basedOn w:val="Fuentedeprrafopredeter"/>
    <w:link w:val="Textodeglobo"/>
    <w:uiPriority w:val="99"/>
    <w:semiHidden/>
    <w:rsid w:val="00104AD9"/>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986D2B"/>
    <w:rPr>
      <w:sz w:val="16"/>
      <w:szCs w:val="16"/>
    </w:rPr>
  </w:style>
  <w:style w:type="paragraph" w:styleId="Textocomentario">
    <w:name w:val="annotation text"/>
    <w:basedOn w:val="Normal"/>
    <w:link w:val="TextocomentarioCar"/>
    <w:uiPriority w:val="99"/>
    <w:semiHidden/>
    <w:unhideWhenUsed/>
    <w:rsid w:val="00986D2B"/>
    <w:rPr>
      <w:sz w:val="20"/>
    </w:rPr>
  </w:style>
  <w:style w:type="character" w:customStyle="1" w:styleId="TextocomentarioCar">
    <w:name w:val="Texto comentario Car"/>
    <w:basedOn w:val="Fuentedeprrafopredeter"/>
    <w:link w:val="Textocomentario"/>
    <w:uiPriority w:val="99"/>
    <w:semiHidden/>
    <w:rsid w:val="00986D2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86D2B"/>
    <w:rPr>
      <w:b/>
      <w:bCs/>
    </w:rPr>
  </w:style>
  <w:style w:type="character" w:customStyle="1" w:styleId="AsuntodelcomentarioCar">
    <w:name w:val="Asunto del comentario Car"/>
    <w:basedOn w:val="TextocomentarioCar"/>
    <w:link w:val="Asuntodelcomentario"/>
    <w:uiPriority w:val="99"/>
    <w:semiHidden/>
    <w:rsid w:val="00986D2B"/>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semiHidden/>
    <w:unhideWhenUsed/>
    <w:rsid w:val="004D19C7"/>
    <w:rPr>
      <w:color w:val="0000FF"/>
      <w:u w:val="single"/>
    </w:rPr>
  </w:style>
  <w:style w:type="paragraph" w:styleId="Encabezado">
    <w:name w:val="header"/>
    <w:basedOn w:val="Normal"/>
    <w:link w:val="EncabezadoCar"/>
    <w:uiPriority w:val="99"/>
    <w:unhideWhenUsed/>
    <w:rsid w:val="00C21EC8"/>
    <w:pPr>
      <w:tabs>
        <w:tab w:val="center" w:pos="4252"/>
        <w:tab w:val="right" w:pos="8504"/>
      </w:tabs>
    </w:pPr>
  </w:style>
  <w:style w:type="character" w:customStyle="1" w:styleId="EncabezadoCar">
    <w:name w:val="Encabezado Car"/>
    <w:basedOn w:val="Fuentedeprrafopredeter"/>
    <w:link w:val="Encabezado"/>
    <w:uiPriority w:val="99"/>
    <w:rsid w:val="00C21EC8"/>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72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D:\Sergio\Sergio%20Tam\Desktop\Sergio%20Tam\Proyectos%20Especiales\7.%20Presentaciones\2022\Excel%20Info%20y%20Gr&#225;fico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2700" cap="rnd" cmpd="sng">
              <a:solidFill>
                <a:schemeClr val="accent5">
                  <a:lumMod val="50000"/>
                </a:schemeClr>
              </a:solidFill>
              <a:round/>
            </a:ln>
            <a:effectLst/>
          </c:spPr>
          <c:marker>
            <c:symbol val="none"/>
          </c:marker>
          <c:cat>
            <c:strRef>
              <c:f>'Ph Rock &amp; Fert. Price'!$E$5:$BW$5</c:f>
              <c:strCache>
                <c:ptCount val="71"/>
                <c:pt idx="0">
                  <c:v>Jan 2016</c:v>
                </c:pt>
                <c:pt idx="1">
                  <c:v>Feb-16</c:v>
                </c:pt>
                <c:pt idx="2">
                  <c:v>Mar-16</c:v>
                </c:pt>
                <c:pt idx="3">
                  <c:v>Apr 2016</c:v>
                </c:pt>
                <c:pt idx="4">
                  <c:v>May-16</c:v>
                </c:pt>
                <c:pt idx="5">
                  <c:v>Jun-16</c:v>
                </c:pt>
                <c:pt idx="6">
                  <c:v>Jul-16</c:v>
                </c:pt>
                <c:pt idx="7">
                  <c:v>Aug 2016</c:v>
                </c:pt>
                <c:pt idx="8">
                  <c:v>Sep 2016</c:v>
                </c:pt>
                <c:pt idx="9">
                  <c:v>Oct-16</c:v>
                </c:pt>
                <c:pt idx="10">
                  <c:v>Nov-16</c:v>
                </c:pt>
                <c:pt idx="11">
                  <c:v>Dec 2016</c:v>
                </c:pt>
                <c:pt idx="12">
                  <c:v>Jan 2017</c:v>
                </c:pt>
                <c:pt idx="13">
                  <c:v>Feb-17</c:v>
                </c:pt>
                <c:pt idx="14">
                  <c:v>Mar-17</c:v>
                </c:pt>
                <c:pt idx="15">
                  <c:v>Apr 2017</c:v>
                </c:pt>
                <c:pt idx="16">
                  <c:v>May-17</c:v>
                </c:pt>
                <c:pt idx="17">
                  <c:v>Jun-17</c:v>
                </c:pt>
                <c:pt idx="18">
                  <c:v>Jul-17</c:v>
                </c:pt>
                <c:pt idx="19">
                  <c:v>Aug 2017</c:v>
                </c:pt>
                <c:pt idx="20">
                  <c:v>Sep 2017</c:v>
                </c:pt>
                <c:pt idx="21">
                  <c:v>Oct-17</c:v>
                </c:pt>
                <c:pt idx="22">
                  <c:v>Nov-17</c:v>
                </c:pt>
                <c:pt idx="23">
                  <c:v>Dec 2017</c:v>
                </c:pt>
                <c:pt idx="24">
                  <c:v>Jan 2018</c:v>
                </c:pt>
                <c:pt idx="25">
                  <c:v>Feb-18</c:v>
                </c:pt>
                <c:pt idx="26">
                  <c:v>Mar-18</c:v>
                </c:pt>
                <c:pt idx="27">
                  <c:v>Apr 2018</c:v>
                </c:pt>
                <c:pt idx="28">
                  <c:v>May-18</c:v>
                </c:pt>
                <c:pt idx="29">
                  <c:v>Jun-18</c:v>
                </c:pt>
                <c:pt idx="30">
                  <c:v>Jul-18</c:v>
                </c:pt>
                <c:pt idx="31">
                  <c:v>Aug 2018</c:v>
                </c:pt>
                <c:pt idx="32">
                  <c:v>Sep 2018</c:v>
                </c:pt>
                <c:pt idx="33">
                  <c:v>Oct-18</c:v>
                </c:pt>
                <c:pt idx="34">
                  <c:v>Nov-18</c:v>
                </c:pt>
                <c:pt idx="35">
                  <c:v>Dec 2018</c:v>
                </c:pt>
                <c:pt idx="36">
                  <c:v>Jan 2019</c:v>
                </c:pt>
                <c:pt idx="37">
                  <c:v>Feb-19</c:v>
                </c:pt>
                <c:pt idx="38">
                  <c:v>Mar-19</c:v>
                </c:pt>
                <c:pt idx="39">
                  <c:v>Apr 2019</c:v>
                </c:pt>
                <c:pt idx="40">
                  <c:v>May-19</c:v>
                </c:pt>
                <c:pt idx="41">
                  <c:v>Jun-19</c:v>
                </c:pt>
                <c:pt idx="42">
                  <c:v>Jul-19</c:v>
                </c:pt>
                <c:pt idx="43">
                  <c:v>Aug 2019</c:v>
                </c:pt>
                <c:pt idx="44">
                  <c:v>Sep 2019</c:v>
                </c:pt>
                <c:pt idx="45">
                  <c:v>Oct-19</c:v>
                </c:pt>
                <c:pt idx="46">
                  <c:v>Nov-19</c:v>
                </c:pt>
                <c:pt idx="47">
                  <c:v>Dec 2019</c:v>
                </c:pt>
                <c:pt idx="48">
                  <c:v>Jan 2020</c:v>
                </c:pt>
                <c:pt idx="49">
                  <c:v>Feb-20</c:v>
                </c:pt>
                <c:pt idx="50">
                  <c:v>Mar-20</c:v>
                </c:pt>
                <c:pt idx="51">
                  <c:v>Apr 2020</c:v>
                </c:pt>
                <c:pt idx="52">
                  <c:v>May-20</c:v>
                </c:pt>
                <c:pt idx="53">
                  <c:v>Jun-20</c:v>
                </c:pt>
                <c:pt idx="54">
                  <c:v>Jul-20</c:v>
                </c:pt>
                <c:pt idx="55">
                  <c:v>Aug 2020</c:v>
                </c:pt>
                <c:pt idx="56">
                  <c:v>Sep 2020</c:v>
                </c:pt>
                <c:pt idx="57">
                  <c:v>Oct-20</c:v>
                </c:pt>
                <c:pt idx="58">
                  <c:v>Nov-20</c:v>
                </c:pt>
                <c:pt idx="59">
                  <c:v>Dec 2020</c:v>
                </c:pt>
                <c:pt idx="60">
                  <c:v>Jan 2021</c:v>
                </c:pt>
                <c:pt idx="61">
                  <c:v>Feb-21</c:v>
                </c:pt>
                <c:pt idx="62">
                  <c:v>Mar-21</c:v>
                </c:pt>
                <c:pt idx="63">
                  <c:v>Apr 2021</c:v>
                </c:pt>
                <c:pt idx="64">
                  <c:v>May-21</c:v>
                </c:pt>
                <c:pt idx="65">
                  <c:v>Jun-21</c:v>
                </c:pt>
                <c:pt idx="66">
                  <c:v>Jul-21</c:v>
                </c:pt>
                <c:pt idx="67">
                  <c:v>Ago-21</c:v>
                </c:pt>
                <c:pt idx="68">
                  <c:v>Set-21</c:v>
                </c:pt>
                <c:pt idx="69">
                  <c:v>Oct-21</c:v>
                </c:pt>
                <c:pt idx="70">
                  <c:v>Nov-21</c:v>
                </c:pt>
              </c:strCache>
            </c:strRef>
          </c:cat>
          <c:val>
            <c:numRef>
              <c:f>'Ph Rock &amp; Fert. Price'!$E$6:$BW$6</c:f>
              <c:numCache>
                <c:formatCode>_(* #,##0.00_);_(* \(#,##0.00\);_(* "-"??_);_(@_)</c:formatCode>
                <c:ptCount val="71"/>
                <c:pt idx="0">
                  <c:v>122.6</c:v>
                </c:pt>
                <c:pt idx="1">
                  <c:v>114.5</c:v>
                </c:pt>
                <c:pt idx="2">
                  <c:v>114.5</c:v>
                </c:pt>
                <c:pt idx="3">
                  <c:v>114.13</c:v>
                </c:pt>
                <c:pt idx="4">
                  <c:v>110.5</c:v>
                </c:pt>
                <c:pt idx="5">
                  <c:v>110.5</c:v>
                </c:pt>
                <c:pt idx="6">
                  <c:v>110.5</c:v>
                </c:pt>
                <c:pt idx="7">
                  <c:v>109.75</c:v>
                </c:pt>
                <c:pt idx="8">
                  <c:v>109</c:v>
                </c:pt>
                <c:pt idx="9">
                  <c:v>109</c:v>
                </c:pt>
                <c:pt idx="10">
                  <c:v>103</c:v>
                </c:pt>
                <c:pt idx="11">
                  <c:v>97.5</c:v>
                </c:pt>
                <c:pt idx="12">
                  <c:v>96.88</c:v>
                </c:pt>
                <c:pt idx="13">
                  <c:v>95</c:v>
                </c:pt>
                <c:pt idx="14">
                  <c:v>97.5</c:v>
                </c:pt>
                <c:pt idx="15">
                  <c:v>95.63</c:v>
                </c:pt>
                <c:pt idx="16">
                  <c:v>92.5</c:v>
                </c:pt>
                <c:pt idx="17">
                  <c:v>92.5</c:v>
                </c:pt>
                <c:pt idx="18">
                  <c:v>92.5</c:v>
                </c:pt>
                <c:pt idx="19">
                  <c:v>88.75</c:v>
                </c:pt>
                <c:pt idx="20">
                  <c:v>85</c:v>
                </c:pt>
                <c:pt idx="21">
                  <c:v>80</c:v>
                </c:pt>
                <c:pt idx="22">
                  <c:v>80</c:v>
                </c:pt>
                <c:pt idx="23">
                  <c:v>80</c:v>
                </c:pt>
                <c:pt idx="24">
                  <c:v>80</c:v>
                </c:pt>
                <c:pt idx="25">
                  <c:v>82.5</c:v>
                </c:pt>
                <c:pt idx="26">
                  <c:v>84.7</c:v>
                </c:pt>
                <c:pt idx="27">
                  <c:v>88</c:v>
                </c:pt>
                <c:pt idx="28">
                  <c:v>88</c:v>
                </c:pt>
                <c:pt idx="29">
                  <c:v>86.8</c:v>
                </c:pt>
                <c:pt idx="30">
                  <c:v>86.88</c:v>
                </c:pt>
                <c:pt idx="31">
                  <c:v>87.5</c:v>
                </c:pt>
                <c:pt idx="32">
                  <c:v>87.5</c:v>
                </c:pt>
                <c:pt idx="33">
                  <c:v>91.25</c:v>
                </c:pt>
                <c:pt idx="34">
                  <c:v>92.5</c:v>
                </c:pt>
                <c:pt idx="35">
                  <c:v>99.17</c:v>
                </c:pt>
                <c:pt idx="36">
                  <c:v>102.5</c:v>
                </c:pt>
                <c:pt idx="37">
                  <c:v>102.5</c:v>
                </c:pt>
                <c:pt idx="38">
                  <c:v>98.5</c:v>
                </c:pt>
                <c:pt idx="39">
                  <c:v>97.5</c:v>
                </c:pt>
                <c:pt idx="40">
                  <c:v>97.5</c:v>
                </c:pt>
                <c:pt idx="41">
                  <c:v>97.5</c:v>
                </c:pt>
                <c:pt idx="42">
                  <c:v>80</c:v>
                </c:pt>
                <c:pt idx="43">
                  <c:v>78</c:v>
                </c:pt>
                <c:pt idx="44">
                  <c:v>77.5</c:v>
                </c:pt>
                <c:pt idx="45">
                  <c:v>77.5</c:v>
                </c:pt>
                <c:pt idx="46">
                  <c:v>74</c:v>
                </c:pt>
                <c:pt idx="47">
                  <c:v>72.5</c:v>
                </c:pt>
                <c:pt idx="48">
                  <c:v>72.5</c:v>
                </c:pt>
                <c:pt idx="49">
                  <c:v>72.5</c:v>
                </c:pt>
                <c:pt idx="50">
                  <c:v>71.88</c:v>
                </c:pt>
                <c:pt idx="51">
                  <c:v>70.75</c:v>
                </c:pt>
                <c:pt idx="52">
                  <c:v>72.900000000000006</c:v>
                </c:pt>
                <c:pt idx="53">
                  <c:v>75</c:v>
                </c:pt>
                <c:pt idx="54">
                  <c:v>75</c:v>
                </c:pt>
                <c:pt idx="55">
                  <c:v>76.88</c:v>
                </c:pt>
                <c:pt idx="56">
                  <c:v>79.38</c:v>
                </c:pt>
                <c:pt idx="57">
                  <c:v>80</c:v>
                </c:pt>
                <c:pt idx="58">
                  <c:v>82.5</c:v>
                </c:pt>
                <c:pt idx="59">
                  <c:v>83.33</c:v>
                </c:pt>
                <c:pt idx="60">
                  <c:v>85</c:v>
                </c:pt>
                <c:pt idx="61">
                  <c:v>88.13</c:v>
                </c:pt>
                <c:pt idx="62">
                  <c:v>96.25</c:v>
                </c:pt>
                <c:pt idx="63">
                  <c:v>95</c:v>
                </c:pt>
                <c:pt idx="64">
                  <c:v>102.5</c:v>
                </c:pt>
                <c:pt idx="65">
                  <c:v>125</c:v>
                </c:pt>
                <c:pt idx="66">
                  <c:v>125</c:v>
                </c:pt>
                <c:pt idx="67">
                  <c:v>136.88</c:v>
                </c:pt>
                <c:pt idx="68">
                  <c:v>147.5</c:v>
                </c:pt>
                <c:pt idx="69">
                  <c:v>147.5</c:v>
                </c:pt>
                <c:pt idx="70">
                  <c:v>153.15</c:v>
                </c:pt>
              </c:numCache>
            </c:numRef>
          </c:val>
          <c:smooth val="0"/>
          <c:extLst>
            <c:ext xmlns:c16="http://schemas.microsoft.com/office/drawing/2014/chart" uri="{C3380CC4-5D6E-409C-BE32-E72D297353CC}">
              <c16:uniqueId val="{00000000-A7EF-47B3-A76F-B29090B0190B}"/>
            </c:ext>
          </c:extLst>
        </c:ser>
        <c:dLbls>
          <c:showLegendKey val="0"/>
          <c:showVal val="0"/>
          <c:showCatName val="0"/>
          <c:showSerName val="0"/>
          <c:showPercent val="0"/>
          <c:showBubbleSize val="0"/>
        </c:dLbls>
        <c:smooth val="0"/>
        <c:axId val="1652068320"/>
        <c:axId val="1652082048"/>
      </c:lineChart>
      <c:catAx>
        <c:axId val="1652068320"/>
        <c:scaling>
          <c:orientation val="minMax"/>
        </c:scaling>
        <c:delete val="0"/>
        <c:axPos val="b"/>
        <c:numFmt formatCode="General" sourceLinked="1"/>
        <c:majorTickMark val="none"/>
        <c:minorTickMark val="none"/>
        <c:tickLblPos val="nextTo"/>
        <c:spPr>
          <a:noFill/>
          <a:ln w="6350" cap="flat" cmpd="sng" algn="ctr">
            <a:solidFill>
              <a:schemeClr val="accent5">
                <a:lumMod val="50000"/>
              </a:schemeClr>
            </a:solidFill>
            <a:round/>
          </a:ln>
          <a:effectLst/>
        </c:spPr>
        <c:txPr>
          <a:bodyPr rot="-5400000" spcFirstLastPara="1" vertOverflow="ellipsis" wrap="square" anchor="ctr" anchorCtr="1"/>
          <a:lstStyle/>
          <a:p>
            <a:pPr>
              <a:defRPr sz="700" b="0" i="0" u="none" strike="noStrike" kern="1200" spc="100" baseline="0">
                <a:solidFill>
                  <a:schemeClr val="accent5">
                    <a:lumMod val="50000"/>
                  </a:schemeClr>
                </a:solidFill>
                <a:latin typeface="+mn-lt"/>
                <a:ea typeface="+mn-ea"/>
                <a:cs typeface="+mn-cs"/>
              </a:defRPr>
            </a:pPr>
            <a:endParaRPr lang="es-MX"/>
          </a:p>
        </c:txPr>
        <c:crossAx val="1652082048"/>
        <c:crosses val="autoZero"/>
        <c:auto val="1"/>
        <c:lblAlgn val="ctr"/>
        <c:lblOffset val="100"/>
        <c:noMultiLvlLbl val="0"/>
      </c:catAx>
      <c:valAx>
        <c:axId val="1652082048"/>
        <c:scaling>
          <c:orientation val="minMax"/>
          <c:min val="60"/>
        </c:scaling>
        <c:delete val="0"/>
        <c:axPos val="l"/>
        <c:numFmt formatCode="_-* #,##0.0_-;\-* #,##0.0_-;_-* &quot;-&quot;?_-;_-@_-" sourceLinked="0"/>
        <c:majorTickMark val="none"/>
        <c:minorTickMark val="none"/>
        <c:tickLblPos val="nextTo"/>
        <c:spPr>
          <a:noFill/>
          <a:ln w="6350">
            <a:solidFill>
              <a:schemeClr val="accent5">
                <a:lumMod val="50000"/>
              </a:schemeClr>
            </a:solidFill>
          </a:ln>
          <a:effectLst/>
        </c:spPr>
        <c:txPr>
          <a:bodyPr rot="-60000000" spcFirstLastPara="1" vertOverflow="ellipsis" vert="horz" wrap="square" anchor="ctr" anchorCtr="1"/>
          <a:lstStyle/>
          <a:p>
            <a:pPr>
              <a:defRPr sz="700" b="0" i="0" u="none" strike="noStrike" kern="1200" baseline="0">
                <a:solidFill>
                  <a:schemeClr val="accent5">
                    <a:lumMod val="50000"/>
                  </a:schemeClr>
                </a:solidFill>
                <a:latin typeface="+mn-lt"/>
                <a:ea typeface="+mn-ea"/>
                <a:cs typeface="+mn-cs"/>
              </a:defRPr>
            </a:pPr>
            <a:endParaRPr lang="es-MX"/>
          </a:p>
        </c:txPr>
        <c:crossAx val="165206832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9">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solidFill>
        <a:round/>
      </a:ln>
    </cs:spPr>
    <cs:defRPr sz="90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45E48-1C9A-4AF5-A54B-C0890D4B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3194</Words>
  <Characters>17567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Pedreros</dc:creator>
  <cp:lastModifiedBy>Carrasco Rodriguez, Marco David</cp:lastModifiedBy>
  <cp:revision>4</cp:revision>
  <cp:lastPrinted>2022-08-03T16:19:00Z</cp:lastPrinted>
  <dcterms:created xsi:type="dcterms:W3CDTF">2022-08-03T17:10:00Z</dcterms:created>
  <dcterms:modified xsi:type="dcterms:W3CDTF">2022-08-03T17:17:00Z</dcterms:modified>
</cp:coreProperties>
</file>